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1312" behindDoc="1" locked="0" layoutInCell="1" allowOverlap="1">
            <wp:simplePos x="0" y="0"/>
            <wp:positionH relativeFrom="column">
              <wp:posOffset>-1171575</wp:posOffset>
            </wp:positionH>
            <wp:positionV relativeFrom="paragraph">
              <wp:posOffset>-927100</wp:posOffset>
            </wp:positionV>
            <wp:extent cx="7640955" cy="10805160"/>
            <wp:effectExtent l="0" t="0" r="4445" b="15240"/>
            <wp:wrapNone/>
            <wp:docPr id="8" name="图片 5"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fe6d7b968251913c615c80fec9fa35c5"/>
                    <pic:cNvPicPr>
                      <a:picLocks noChangeAspect="1"/>
                    </pic:cNvPicPr>
                  </pic:nvPicPr>
                  <pic:blipFill>
                    <a:blip r:embed="rId13"/>
                    <a:stretch>
                      <a:fillRect/>
                    </a:stretch>
                  </pic:blipFill>
                  <pic:spPr>
                    <a:xfrm>
                      <a:off x="0" y="0"/>
                      <a:ext cx="7640955" cy="1080516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-481965</wp:posOffset>
            </wp:positionH>
            <wp:positionV relativeFrom="paragraph">
              <wp:posOffset>-421005</wp:posOffset>
            </wp:positionV>
            <wp:extent cx="2058035" cy="498475"/>
            <wp:effectExtent l="0" t="0" r="24765" b="9525"/>
            <wp:wrapNone/>
            <wp:docPr id="7" name="图片 4"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数字安全LOGO（slogan）_03"/>
                    <pic:cNvPicPr>
                      <a:picLocks noChangeAspect="1"/>
                    </pic:cNvPicPr>
                  </pic:nvPicPr>
                  <pic:blipFill>
                    <a:blip r:embed="rId14"/>
                    <a:stretch>
                      <a:fillRect/>
                    </a:stretch>
                  </pic:blipFill>
                  <pic:spPr>
                    <a:xfrm>
                      <a:off x="0" y="0"/>
                      <a:ext cx="2058035" cy="498475"/>
                    </a:xfrm>
                    <a:prstGeom prst="rect">
                      <a:avLst/>
                    </a:prstGeom>
                    <a:noFill/>
                    <a:ln>
                      <a:noFill/>
                    </a:ln>
                  </pic:spPr>
                </pic:pic>
              </a:graphicData>
            </a:graphic>
          </wp:anchor>
        </w:drawing>
      </w:r>
    </w:p>
    <w:p/>
    <w:p>
      <w:pPr>
        <w:widowControl/>
        <w:spacing w:line="240" w:lineRule="auto"/>
        <w:ind w:firstLine="0"/>
        <w:jc w:val="left"/>
      </w:pPr>
      <w:r>
        <mc:AlternateContent>
          <mc:Choice Requires="wps">
            <w:drawing>
              <wp:anchor distT="45720" distB="45720" distL="114300" distR="114300" simplePos="0" relativeHeight="251659264" behindDoc="0" locked="0" layoutInCell="1" allowOverlap="1">
                <wp:simplePos x="0" y="0"/>
                <wp:positionH relativeFrom="page">
                  <wp:posOffset>19685</wp:posOffset>
                </wp:positionH>
                <wp:positionV relativeFrom="paragraph">
                  <wp:posOffset>3397885</wp:posOffset>
                </wp:positionV>
                <wp:extent cx="753935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9355" cy="1404620"/>
                        </a:xfrm>
                        <a:prstGeom prst="rect">
                          <a:avLst/>
                        </a:prstGeom>
                        <a:noFill/>
                        <a:ln w="9525">
                          <a:noFill/>
                          <a:miter lim="800000"/>
                        </a:ln>
                      </wps:spPr>
                      <wps:txbx>
                        <w:txbxContent>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360安全隔离与信息交换系统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部署</w:t>
                            </w:r>
                            <w:r>
                              <w:rPr>
                                <w:rFonts w:ascii="黑体" w:hAnsi="黑体" w:eastAsia="黑体"/>
                                <w:b/>
                                <w:color w:val="FFFFFF" w:themeColor="background1"/>
                                <w:sz w:val="84"/>
                                <w:szCs w:val="84"/>
                                <w14:textFill>
                                  <w14:solidFill>
                                    <w14:schemeClr w14:val="bg1"/>
                                  </w14:solidFill>
                                </w14:textFill>
                              </w:rPr>
                              <w:t>及配置手册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pt;margin-top:267.55pt;height:110.6pt;width:593.65pt;mso-position-horizontal-relative:page;mso-wrap-distance-bottom:3.6pt;mso-wrap-distance-left:9pt;mso-wrap-distance-right:9pt;mso-wrap-distance-top:3.6pt;z-index:251659264;mso-width-relative:page;mso-height-relative:margin;mso-height-percent:200;" filled="f" stroked="f" coordsize="21600,21600" o:gfxdata="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eBfunYAAAACgEAAA8AAAAAAAAAAQAgAAAAIgAAAGRycy9kb3ducmV2LnhtbFBLAQIUABQA&#10;AAAIAIdO4kBRcPJtKQIAACwEAAAOAAAAAAAAAAEAIAAAACcBAABkcnMvZTJvRG9jLnhtbFBLBQYA&#10;AAAABgAGAFkBAADCBQ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360安全隔离与信息交换系统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部署</w:t>
                      </w:r>
                      <w:r>
                        <w:rPr>
                          <w:rFonts w:ascii="黑体" w:hAnsi="黑体" w:eastAsia="黑体"/>
                          <w:b/>
                          <w:color w:val="FFFFFF" w:themeColor="background1"/>
                          <w:sz w:val="84"/>
                          <w:szCs w:val="84"/>
                          <w14:textFill>
                            <w14:solidFill>
                              <w14:schemeClr w14:val="bg1"/>
                            </w14:solidFill>
                          </w14:textFill>
                        </w:rPr>
                        <w:t>及配置手册</w:t>
                      </w:r>
                    </w:p>
                  </w:txbxContent>
                </v:textbox>
                <w10:wrap type="square"/>
              </v:shape>
            </w:pict>
          </mc:Fallback>
        </mc:AlternateContent>
      </w:r>
      <w:r>
        <w:br w:type="page"/>
      </w:r>
    </w:p>
    <w:p>
      <w:pPr>
        <w:tabs>
          <w:tab w:val="left" w:pos="3420"/>
        </w:tabs>
      </w:pPr>
      <w:r>
        <w:tab/>
      </w:r>
    </w:p>
    <w:p>
      <w:pPr>
        <w:pStyle w:val="28"/>
      </w:pPr>
      <w:r>
        <w:rPr>
          <w:rFonts w:hint="eastAsia"/>
        </w:rPr>
        <w:t>版权声明</w:t>
      </w:r>
    </w:p>
    <w:p>
      <w:pPr>
        <w:pStyle w:val="28"/>
      </w:pPr>
    </w:p>
    <w:p>
      <w:r>
        <w:t>©20</w:t>
      </w:r>
      <w:r>
        <w:rPr>
          <w:rFonts w:hint="eastAsia"/>
        </w:rPr>
        <w:t>20-</w:t>
      </w:r>
      <w:r>
        <w:t>2024 360公司</w:t>
      </w:r>
      <w:r>
        <w:rPr>
          <w:rFonts w:hint="eastAsia"/>
        </w:rPr>
        <w:t xml:space="preserve"> 保留所有权利</w:t>
      </w:r>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pStyle w:val="51"/>
      </w:pPr>
      <w:r>
        <w:rPr>
          <w:rFonts w:hint="eastAsia"/>
        </w:rPr>
        <w:t>前言</w:t>
      </w:r>
    </w:p>
    <w:p>
      <w:pPr>
        <w:pStyle w:val="65"/>
        <w:ind w:firstLine="420"/>
        <w:rPr>
          <w:rFonts w:ascii="宋体" w:hAnsi="宋体"/>
          <w:sz w:val="21"/>
          <w:szCs w:val="21"/>
        </w:rPr>
      </w:pPr>
      <w:r>
        <w:rPr>
          <w:rFonts w:hint="eastAsia" w:ascii="宋体" w:hAnsi="宋体"/>
          <w:sz w:val="21"/>
          <w:szCs w:val="21"/>
        </w:rPr>
        <w:t>计算机网络的迅速反展，已经涉及到了人们生活的各个方面，成为实现信息收集处理、加强交流、提高工作生活效率和质量的重要手段。同时，信息网络的普及和网络中各种潜在的漏洞给我们带来了新的安全威胁，如黑客侵袭、病毒骚扰和系统内部泄密等，频繁出现的攻击事件严重威胁着网络中的数据安全。而重要信息一旦泄漏，必将造成重大的损失。</w:t>
      </w:r>
    </w:p>
    <w:p>
      <w:pPr>
        <w:pStyle w:val="65"/>
        <w:ind w:firstLine="420"/>
        <w:rPr>
          <w:rFonts w:ascii="宋体" w:hAnsi="宋体"/>
          <w:sz w:val="21"/>
          <w:szCs w:val="21"/>
        </w:rPr>
      </w:pPr>
      <w:r>
        <w:rPr>
          <w:rFonts w:hint="eastAsia" w:ascii="宋体" w:hAnsi="宋体"/>
          <w:sz w:val="21"/>
          <w:szCs w:val="21"/>
        </w:rPr>
        <w:t>针对这个问题，国家保密局早在1998年发布的《涉及国家秘密的通信、办公自动化和计算机信息系统审批暂行办法》中就提出了“物理隔离”要求，文中明确规定:涉密系统不得直接或间接与国际联网，必须实行物理隔离。2000年，国家保密局正式颁布的《计算机信息系统国际联网保密管理规定》中也明确规定:“凡涉及国家秘密的计算机信息系统，不得直接或间接地与国际互联网或其他公共信息网络相联接，必须实行物理隔离。”</w:t>
      </w:r>
    </w:p>
    <w:p>
      <w:pPr>
        <w:pStyle w:val="65"/>
        <w:ind w:firstLine="420"/>
        <w:rPr>
          <w:rFonts w:ascii="宋体" w:hAnsi="宋体"/>
          <w:sz w:val="21"/>
          <w:szCs w:val="21"/>
        </w:rPr>
      </w:pPr>
      <w:r>
        <w:rPr>
          <w:rFonts w:hint="eastAsia" w:ascii="宋体" w:hAnsi="宋体"/>
          <w:sz w:val="21"/>
          <w:szCs w:val="21"/>
        </w:rPr>
        <w:t>网闸，有的叫安全隔离网闸、物理隔离网闸、安全隔离与信息交换系统、数据交换平台等，但都是为了实现同一个安全目标而设计的，那就是确保安全的前提下实现有限的数据交流，使用带有多种控制功能的固态开关读写介质连接两个独立主机系统的信息安全设备。网闸是一种网络隔离技术，它所连接的两个独立主机系统之间不存在通信的物理连接、逻辑连接、信息传输命令、信息传输协议，不存在依据协议的信息包转发，只有数据文件的无协议“摆渡”，且对固态存储介质只有“读”和“写”两个命令。所以网闸从物理上隔离、阻断了具有潜在攻击可能的一切连接，是“黑客”无法入侵、无法攻击、无法破坏、实现真正的安全。</w:t>
      </w:r>
    </w:p>
    <w:p>
      <w:r>
        <w:rPr>
          <w:rFonts w:hint="eastAsia" w:ascii="宋体" w:hAnsi="宋体" w:cs="宋体"/>
          <w:szCs w:val="21"/>
        </w:rPr>
        <w:t>我司根据国家相关政策和标准，360安全隔离与信息交换系统GAP系列产品，凭借完善的功能和卓越的性能满足政府及企业的安全数据交换需求，为企业提供网络隔离最全面、最安全的解决方案。</w:t>
      </w:r>
    </w:p>
    <w:p>
      <w:pPr>
        <w:pStyle w:val="52"/>
      </w:pPr>
      <w:r>
        <w:rPr>
          <w:rFonts w:hint="eastAsia"/>
        </w:rPr>
        <w:t>文档概述</w:t>
      </w:r>
    </w:p>
    <w:p>
      <w:pPr>
        <w:rPr>
          <w:rFonts w:ascii="宋体" w:hAnsi="宋体" w:cs="宋体"/>
          <w:szCs w:val="21"/>
        </w:rPr>
      </w:pPr>
      <w:r>
        <w:rPr>
          <w:rFonts w:hint="eastAsia" w:ascii="宋体" w:hAnsi="宋体" w:cs="宋体"/>
          <w:szCs w:val="21"/>
        </w:rPr>
        <w:t>该文档主要由产品描述，部署过程以及设备检查组成，主要讲述了如何部署安全隔离与信息交换系统，通过阅读该手册，用户可以成功部署安全隔离与信息交换系统。</w:t>
      </w:r>
    </w:p>
    <w:p>
      <w:pPr>
        <w:pStyle w:val="52"/>
      </w:pPr>
      <w:r>
        <w:rPr>
          <w:rFonts w:hint="eastAsia"/>
        </w:rPr>
        <w:t>读者对象</w:t>
      </w:r>
    </w:p>
    <w:p>
      <w:pPr>
        <w:pStyle w:val="42"/>
      </w:pPr>
      <w:r>
        <w:rPr>
          <w:rFonts w:hint="eastAsia"/>
        </w:rPr>
        <w:t>产品经理</w:t>
      </w:r>
    </w:p>
    <w:p>
      <w:pPr>
        <w:pStyle w:val="42"/>
      </w:pPr>
      <w:r>
        <w:rPr>
          <w:rFonts w:hint="eastAsia"/>
        </w:rPr>
        <w:t>研发</w:t>
      </w:r>
    </w:p>
    <w:p>
      <w:pPr>
        <w:pStyle w:val="42"/>
      </w:pPr>
      <w:r>
        <w:rPr>
          <w:rFonts w:hint="eastAsia"/>
        </w:rPr>
        <w:t>测试</w:t>
      </w:r>
    </w:p>
    <w:p>
      <w:pPr>
        <w:pStyle w:val="42"/>
      </w:pPr>
      <w:r>
        <w:rPr>
          <w:rFonts w:hint="eastAsia"/>
        </w:rPr>
        <w:t>文档工程师</w:t>
      </w:r>
    </w:p>
    <w:p>
      <w:pPr>
        <w:pStyle w:val="42"/>
      </w:pPr>
      <w:r>
        <w:rPr>
          <w:rFonts w:hint="eastAsia"/>
        </w:rPr>
        <w:t>技术支持</w:t>
      </w:r>
    </w:p>
    <w:p>
      <w:pPr>
        <w:pStyle w:val="52"/>
      </w:pPr>
      <w:bookmarkStart w:id="0" w:name="_Ref38620496"/>
      <w:bookmarkStart w:id="1" w:name="_Ref38620490"/>
      <w:r>
        <w:rPr>
          <w:rFonts w:hint="eastAsia"/>
        </w:rPr>
        <w:t>通用约定</w:t>
      </w:r>
      <w:bookmarkEnd w:id="0"/>
      <w:bookmarkEnd w:id="1"/>
    </w:p>
    <w:p>
      <w:r>
        <w:rPr>
          <w:rFonts w:hint="eastAsia"/>
        </w:rPr>
        <w:t>在本文中可能会出现下列文字，它们所代表的含义如下：</w:t>
      </w:r>
    </w:p>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shd w:val="clear" w:color="auto" w:fill="538135" w:themeFill="accent6" w:themeFillShade="BF"/>
          </w:tcPr>
          <w:p>
            <w:pPr>
              <w:pStyle w:val="29"/>
              <w:jc w:val="both"/>
            </w:pPr>
            <w:r>
              <w:t>符号</w:t>
            </w:r>
          </w:p>
        </w:tc>
        <w:tc>
          <w:tcPr>
            <w:tcW w:w="4063" w:type="pct"/>
            <w:shd w:val="clear" w:color="auto" w:fill="538135" w:themeFill="accent6" w:themeFillShade="BF"/>
          </w:tcPr>
          <w:p>
            <w:pPr>
              <w:pStyle w:val="29"/>
            </w:pPr>
            <w: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7" w:type="pct"/>
            <w:vAlign w:val="center"/>
          </w:tcPr>
          <w:p>
            <w:pPr>
              <w:spacing w:line="240" w:lineRule="auto"/>
              <w:ind w:firstLine="0"/>
              <w:jc w:val="center"/>
              <w:rPr>
                <w:b/>
              </w:rPr>
            </w:pPr>
            <w:r>
              <w:rPr>
                <w:b/>
                <w:color w:val="00A0E9"/>
              </w:rPr>
              <w:drawing>
                <wp:inline distT="0" distB="0" distL="0" distR="0">
                  <wp:extent cx="260350" cy="260350"/>
                  <wp:effectExtent l="0" t="0" r="635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70" cy="260470"/>
                          </a:xfrm>
                          <a:prstGeom prst="rect">
                            <a:avLst/>
                          </a:prstGeom>
                        </pic:spPr>
                      </pic:pic>
                    </a:graphicData>
                  </a:graphic>
                </wp:inline>
              </w:drawing>
            </w:r>
          </w:p>
        </w:tc>
        <w:tc>
          <w:tcPr>
            <w:tcW w:w="4063" w:type="pct"/>
          </w:tcPr>
          <w:p>
            <w:pPr>
              <w:pStyle w:val="30"/>
              <w:rPr>
                <w:i/>
              </w:rPr>
            </w:pPr>
            <w:r>
              <w:rPr>
                <w:rFonts w:hint="eastAsia"/>
              </w:rPr>
              <w:t>表示有潜在风险，如果忽视这些文本，可能导致设备损坏、数据丢失、设备性能降低或不可预知的后果。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vAlign w:val="center"/>
          </w:tcPr>
          <w:p>
            <w:pPr>
              <w:spacing w:line="240" w:lineRule="auto"/>
              <w:ind w:firstLine="0"/>
              <w:jc w:val="center"/>
              <w:rPr>
                <w:b/>
              </w:rPr>
            </w:pPr>
            <w:r>
              <w:rPr>
                <w:b/>
              </w:rPr>
              <w:drawing>
                <wp:inline distT="0" distB="0" distL="0" distR="0">
                  <wp:extent cx="283210" cy="283210"/>
                  <wp:effectExtent l="0" t="0" r="254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870" cy="292866"/>
                          </a:xfrm>
                          <a:prstGeom prst="rect">
                            <a:avLst/>
                          </a:prstGeom>
                        </pic:spPr>
                      </pic:pic>
                    </a:graphicData>
                  </a:graphic>
                </wp:inline>
              </w:drawing>
            </w:r>
          </w:p>
        </w:tc>
        <w:tc>
          <w:tcPr>
            <w:tcW w:w="4063" w:type="pct"/>
            <w:vAlign w:val="center"/>
          </w:tcPr>
          <w:p>
            <w:pPr>
              <w:pStyle w:val="30"/>
              <w:jc w:val="both"/>
              <w:rPr>
                <w:i/>
              </w:rPr>
            </w:pPr>
            <w:r>
              <w:rPr>
                <w:rFonts w:hint="eastAsia"/>
              </w:rPr>
              <w:t>表示是正文的附加信息，是对正文的强调和补充。</w:t>
            </w:r>
          </w:p>
        </w:tc>
      </w:tr>
    </w:tbl>
    <w:p>
      <w:pPr>
        <w:pStyle w:val="52"/>
      </w:pPr>
      <w:r>
        <w:rPr>
          <w:rFonts w:hint="eastAsia"/>
        </w:rPr>
        <w:t>参考文档</w:t>
      </w:r>
    </w:p>
    <w:p>
      <w:pPr>
        <w:pStyle w:val="54"/>
        <w:ind w:firstLine="420"/>
      </w:pPr>
      <w:r>
        <w:rPr>
          <w:rFonts w:hint="eastAsia" w:ascii="宋体" w:hAnsi="宋体" w:cs="宋体"/>
          <w:i w:val="0"/>
          <w:color w:val="auto"/>
          <w:szCs w:val="21"/>
        </w:rPr>
        <w:t>无。</w:t>
      </w:r>
    </w:p>
    <w:p>
      <w:pPr>
        <w:pStyle w:val="52"/>
      </w:pPr>
      <w:r>
        <w:rPr>
          <w:rFonts w:hint="eastAsia"/>
        </w:rPr>
        <w:t>术语解释</w:t>
      </w:r>
    </w:p>
    <w:p>
      <w:pPr>
        <w:pStyle w:val="54"/>
        <w:ind w:firstLine="420"/>
      </w:pPr>
      <w:r>
        <w:rPr>
          <w:rFonts w:hint="eastAsia"/>
        </w:rPr>
        <w:t>列举文档中可能会出现的一些缩略语、术语及其对应的解释说明。</w:t>
      </w:r>
    </w:p>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538135" w:themeFill="accent6" w:themeFillShade="BF"/>
            <w:vAlign w:val="center"/>
          </w:tcPr>
          <w:p>
            <w:pPr>
              <w:pStyle w:val="29"/>
            </w:pPr>
            <w:r>
              <w:rPr>
                <w:rFonts w:hint="eastAsia"/>
              </w:rPr>
              <w:t>术语</w:t>
            </w:r>
          </w:p>
        </w:tc>
        <w:tc>
          <w:tcPr>
            <w:tcW w:w="6945" w:type="dxa"/>
            <w:shd w:val="clear" w:color="auto" w:fill="538135" w:themeFill="accent6" w:themeFillShade="BF"/>
            <w:vAlign w:val="center"/>
          </w:tcPr>
          <w:p>
            <w:pPr>
              <w:pStyle w:val="29"/>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pStyle w:val="30"/>
              <w:jc w:val="center"/>
            </w:pPr>
            <w:r>
              <w:rPr>
                <w:rFonts w:hint="eastAsia"/>
              </w:rPr>
              <w:t>G</w:t>
            </w:r>
            <w:r>
              <w:t>AP</w:t>
            </w:r>
          </w:p>
        </w:tc>
        <w:tc>
          <w:tcPr>
            <w:tcW w:w="6945" w:type="dxa"/>
          </w:tcPr>
          <w:p>
            <w:pPr>
              <w:pStyle w:val="30"/>
              <w:jc w:val="center"/>
            </w:pPr>
            <w:r>
              <w:rPr>
                <w:rFonts w:hint="eastAsia"/>
              </w:rPr>
              <w:t>安全隔离与信息交换系统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jc w:val="center"/>
            </w:pPr>
          </w:p>
        </w:tc>
        <w:tc>
          <w:tcPr>
            <w:tcW w:w="6945" w:type="dxa"/>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jc w:val="center"/>
            </w:pPr>
          </w:p>
        </w:tc>
        <w:tc>
          <w:tcPr>
            <w:tcW w:w="6945" w:type="dxa"/>
            <w:vAlign w:val="center"/>
          </w:tcPr>
          <w:p>
            <w:pPr>
              <w:spacing w:line="240" w:lineRule="auto"/>
              <w:jc w:val="center"/>
            </w:pPr>
          </w:p>
        </w:tc>
      </w:tr>
    </w:tbl>
    <w:p/>
    <w:p>
      <w:pPr>
        <w:widowControl/>
        <w:spacing w:line="240" w:lineRule="auto"/>
        <w:ind w:firstLine="0"/>
        <w:jc w:val="left"/>
      </w:pPr>
      <w:r>
        <w:br w:type="page"/>
      </w:r>
    </w:p>
    <w:p>
      <w:pPr>
        <w:pStyle w:val="28"/>
      </w:pPr>
      <w:r>
        <w:rPr>
          <w:rFonts w:hint="eastAsia"/>
        </w:rPr>
        <w:t>修订记录</w:t>
      </w:r>
    </w:p>
    <w:p>
      <w:pPr>
        <w:jc w:val="center"/>
        <w:rPr>
          <w:rFonts w:ascii="宋体" w:hAnsi="宋体"/>
          <w:b/>
          <w:sz w:val="24"/>
          <w:szCs w:val="24"/>
        </w:r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6"/>
        <w:gridCol w:w="1570"/>
        <w:gridCol w:w="1149"/>
        <w:gridCol w:w="2346"/>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3" w:hRule="atLeast"/>
          <w:tblHeader/>
          <w:jc w:val="center"/>
        </w:trPr>
        <w:tc>
          <w:tcPr>
            <w:tcW w:w="629"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版本</w:t>
            </w:r>
          </w:p>
        </w:tc>
        <w:tc>
          <w:tcPr>
            <w:tcW w:w="926"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修订时间</w:t>
            </w:r>
          </w:p>
        </w:tc>
        <w:tc>
          <w:tcPr>
            <w:tcW w:w="678"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编制者</w:t>
            </w:r>
          </w:p>
        </w:tc>
        <w:tc>
          <w:tcPr>
            <w:tcW w:w="138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Pr>
          <w:p>
            <w:pPr>
              <w:pStyle w:val="29"/>
              <w:ind w:firstLine="0"/>
              <w:rPr>
                <w:bCs w:val="0"/>
              </w:rPr>
            </w:pPr>
            <w:r>
              <w:rPr>
                <w:rFonts w:hint="eastAsia"/>
                <w:bCs w:val="0"/>
              </w:rPr>
              <w:t>审核者</w:t>
            </w:r>
          </w:p>
        </w:tc>
        <w:tc>
          <w:tcPr>
            <w:tcW w:w="1383"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w:t>
            </w:r>
            <w:r>
              <w:rPr>
                <w:rFonts w:hint="eastAsia"/>
              </w:rPr>
              <w:t>1.0</w:t>
            </w:r>
          </w:p>
        </w:tc>
        <w:tc>
          <w:tcPr>
            <w:tcW w:w="926" w:type="pct"/>
            <w:shd w:val="clear" w:color="auto" w:fill="auto"/>
            <w:tcMar>
              <w:top w:w="28" w:type="dxa"/>
              <w:left w:w="85" w:type="dxa"/>
              <w:bottom w:w="28" w:type="dxa"/>
              <w:right w:w="85" w:type="dxa"/>
            </w:tcMar>
            <w:vAlign w:val="center"/>
          </w:tcPr>
          <w:p>
            <w:pPr>
              <w:pStyle w:val="30"/>
              <w:jc w:val="center"/>
            </w:pPr>
            <w:r>
              <w:t>202</w:t>
            </w:r>
            <w:r>
              <w:rPr>
                <w:rFonts w:hint="eastAsia"/>
              </w:rPr>
              <w:t>3</w:t>
            </w:r>
            <w:r>
              <w:t>-</w:t>
            </w:r>
            <w:r>
              <w:rPr>
                <w:rFonts w:hint="eastAsia"/>
              </w:rPr>
              <w:t>10</w:t>
            </w:r>
            <w:r>
              <w:t>-</w:t>
            </w:r>
            <w:r>
              <w:rPr>
                <w:rFonts w:hint="eastAsia"/>
              </w:rPr>
              <w:t>7</w:t>
            </w:r>
          </w:p>
        </w:tc>
        <w:tc>
          <w:tcPr>
            <w:tcW w:w="678" w:type="pct"/>
            <w:shd w:val="clear" w:color="auto" w:fill="auto"/>
            <w:tcMar>
              <w:top w:w="28" w:type="dxa"/>
              <w:left w:w="85" w:type="dxa"/>
              <w:bottom w:w="28" w:type="dxa"/>
              <w:right w:w="85" w:type="dxa"/>
            </w:tcMar>
            <w:vAlign w:val="center"/>
          </w:tcPr>
          <w:p>
            <w:pPr>
              <w:pStyle w:val="30"/>
              <w:jc w:val="center"/>
            </w:pP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r>
              <w:rPr>
                <w:rFonts w:hint="eastAsia"/>
              </w:rPr>
              <w:t>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rPr>
                <w:rFonts w:hint="eastAsia"/>
              </w:rPr>
            </w:pPr>
            <w:r>
              <w:t>V2.0</w:t>
            </w:r>
          </w:p>
        </w:tc>
        <w:tc>
          <w:tcPr>
            <w:tcW w:w="926" w:type="pct"/>
            <w:shd w:val="clear" w:color="auto" w:fill="auto"/>
            <w:tcMar>
              <w:top w:w="28" w:type="dxa"/>
              <w:left w:w="85" w:type="dxa"/>
              <w:bottom w:w="28" w:type="dxa"/>
              <w:right w:w="85" w:type="dxa"/>
            </w:tcMar>
            <w:vAlign w:val="center"/>
          </w:tcPr>
          <w:p>
            <w:pPr>
              <w:pStyle w:val="30"/>
              <w:jc w:val="center"/>
            </w:pPr>
            <w:r>
              <w:rPr>
                <w:rFonts w:hint="eastAsia"/>
              </w:rPr>
              <w:t>2</w:t>
            </w:r>
            <w:r>
              <w:t>024-03-30</w:t>
            </w:r>
          </w:p>
        </w:tc>
        <w:tc>
          <w:tcPr>
            <w:tcW w:w="678" w:type="pct"/>
            <w:shd w:val="clear" w:color="auto" w:fill="auto"/>
            <w:tcMar>
              <w:top w:w="28" w:type="dxa"/>
              <w:left w:w="85" w:type="dxa"/>
              <w:bottom w:w="28" w:type="dxa"/>
              <w:right w:w="85" w:type="dxa"/>
            </w:tcMar>
            <w:vAlign w:val="center"/>
          </w:tcPr>
          <w:p>
            <w:pPr>
              <w:pStyle w:val="30"/>
              <w:jc w:val="center"/>
            </w:pP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r>
              <w:rPr>
                <w:rFonts w:hint="eastAsia"/>
              </w:rPr>
              <w:t>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bl>
    <w:p/>
    <w:p>
      <w:pPr>
        <w:widowControl/>
        <w:spacing w:line="240" w:lineRule="auto"/>
        <w:ind w:firstLine="0"/>
        <w:jc w:val="left"/>
      </w:pPr>
    </w:p>
    <w:p>
      <w:pPr>
        <w:rPr>
          <w:rFonts w:ascii="宋体" w:hAnsi="宋体"/>
          <w:b/>
          <w:sz w:val="18"/>
          <w:szCs w:val="18"/>
        </w:rPr>
        <w:sectPr>
          <w:headerReference r:id="rId7" w:type="default"/>
          <w:footerReference r:id="rId8" w:type="default"/>
          <w:pgSz w:w="11906" w:h="16838"/>
          <w:pgMar w:top="1440" w:right="1800" w:bottom="1440" w:left="1800" w:header="851" w:footer="992" w:gutter="0"/>
          <w:pgNumType w:fmt="lowerRoman" w:start="1"/>
          <w:cols w:space="425" w:num="1"/>
          <w:docGrid w:type="lines" w:linePitch="312" w:charSpace="0"/>
        </w:sectPr>
      </w:pPr>
      <w:r>
        <w:br w:type="page"/>
      </w:r>
    </w:p>
    <w:p>
      <w:pPr>
        <w:pStyle w:val="51"/>
        <w:jc w:val="center"/>
      </w:pPr>
      <w:r>
        <w:rPr>
          <w:rFonts w:hint="eastAsia"/>
        </w:rPr>
        <w:t>目录</w:t>
      </w:r>
    </w:p>
    <w:p>
      <w:pPr>
        <w:pStyle w:val="16"/>
        <w:tabs>
          <w:tab w:val="right" w:leader="dot" w:pos="8306"/>
        </w:tabs>
      </w:pPr>
      <w:r>
        <w:rPr>
          <w:rFonts w:ascii="宋体" w:hAnsi="宋体"/>
          <w:sz w:val="44"/>
          <w:szCs w:val="44"/>
        </w:rPr>
        <w:fldChar w:fldCharType="begin"/>
      </w:r>
      <w:r>
        <w:rPr>
          <w:rFonts w:ascii="宋体" w:hAnsi="宋体"/>
          <w:sz w:val="44"/>
          <w:szCs w:val="44"/>
        </w:rPr>
        <w:instrText xml:space="preserve"> TOC \o "3-3" \h \z \t "标题 1,1,标题 2,2,附录,1" </w:instrText>
      </w:r>
      <w:r>
        <w:rPr>
          <w:rFonts w:ascii="宋体" w:hAnsi="宋体"/>
          <w:sz w:val="44"/>
          <w:szCs w:val="44"/>
        </w:rPr>
        <w:fldChar w:fldCharType="separate"/>
      </w:r>
      <w:r>
        <w:fldChar w:fldCharType="begin"/>
      </w:r>
      <w:r>
        <w:instrText xml:space="preserve"> HYPERLINK \l "_Toc26816" </w:instrText>
      </w:r>
      <w:r>
        <w:fldChar w:fldCharType="separate"/>
      </w:r>
      <w:r>
        <w:t xml:space="preserve">1. </w:t>
      </w:r>
      <w:r>
        <w:rPr>
          <w:rFonts w:hint="eastAsia"/>
        </w:rPr>
        <w:t>产品概述</w:t>
      </w:r>
      <w:r>
        <w:tab/>
      </w:r>
      <w:bookmarkStart w:id="28" w:name="_GoBack"/>
      <w:bookmarkEnd w:id="28"/>
      <w:r>
        <w:fldChar w:fldCharType="begin"/>
      </w:r>
      <w:r>
        <w:instrText xml:space="preserve"> PAGEREF _Toc26816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"_Toc19327" </w:instrText>
      </w:r>
      <w:r>
        <w:fldChar w:fldCharType="separate"/>
      </w:r>
      <w:r>
        <w:t xml:space="preserve">1.1. </w:t>
      </w:r>
      <w:r>
        <w:rPr>
          <w:rFonts w:hint="eastAsia"/>
        </w:rPr>
        <w:t>产品定位</w:t>
      </w:r>
      <w:r>
        <w:tab/>
      </w:r>
      <w:r>
        <w:fldChar w:fldCharType="begin"/>
      </w:r>
      <w:r>
        <w:instrText xml:space="preserve"> PAGEREF _Toc19327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"_Toc2968" </w:instrText>
      </w:r>
      <w:r>
        <w:fldChar w:fldCharType="separate"/>
      </w:r>
      <w:r>
        <w:t xml:space="preserve">1.2. </w:t>
      </w:r>
      <w:r>
        <w:rPr>
          <w:rFonts w:hint="eastAsia"/>
        </w:rPr>
        <w:t>交换原理</w:t>
      </w:r>
      <w:r>
        <w:tab/>
      </w:r>
      <w:r>
        <w:fldChar w:fldCharType="begin"/>
      </w:r>
      <w:r>
        <w:instrText xml:space="preserve"> PAGEREF _Toc2968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"_Toc15164" </w:instrText>
      </w:r>
      <w:r>
        <w:fldChar w:fldCharType="separate"/>
      </w:r>
      <w:r>
        <w:t xml:space="preserve">2. </w:t>
      </w:r>
      <w:r>
        <w:rPr>
          <w:rFonts w:hint="eastAsia"/>
        </w:rPr>
        <w:t>部署规划</w:t>
      </w:r>
      <w:r>
        <w:tab/>
      </w:r>
      <w:r>
        <w:fldChar w:fldCharType="begin"/>
      </w:r>
      <w:r>
        <w:instrText xml:space="preserve"> PAGEREF _Toc15164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"_Toc8626" </w:instrText>
      </w:r>
      <w:r>
        <w:fldChar w:fldCharType="separate"/>
      </w:r>
      <w:r>
        <w:t xml:space="preserve">2.1. </w:t>
      </w:r>
      <w:r>
        <w:rPr>
          <w:rFonts w:hint="eastAsia"/>
        </w:rPr>
        <w:t>安装部署总流程</w:t>
      </w:r>
      <w:r>
        <w:tab/>
      </w:r>
      <w:r>
        <w:fldChar w:fldCharType="begin"/>
      </w:r>
      <w:r>
        <w:instrText xml:space="preserve"> PAGEREF _Toc8626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"_Toc32412" </w:instrText>
      </w:r>
      <w:r>
        <w:fldChar w:fldCharType="separate"/>
      </w:r>
      <w:r>
        <w:t xml:space="preserve">2.2. </w:t>
      </w:r>
      <w:r>
        <w:rPr>
          <w:rFonts w:hint="eastAsia"/>
        </w:rPr>
        <w:t>测试环境部署规划</w:t>
      </w:r>
      <w:r>
        <w:tab/>
      </w:r>
      <w:r>
        <w:fldChar w:fldCharType="begin"/>
      </w:r>
      <w:r>
        <w:instrText xml:space="preserve"> PAGEREF _Toc32412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"_Toc9642" </w:instrText>
      </w:r>
      <w:r>
        <w:fldChar w:fldCharType="separate"/>
      </w:r>
      <w:r>
        <w:t xml:space="preserve">2.3. </w:t>
      </w:r>
      <w:r>
        <w:rPr>
          <w:rFonts w:hint="eastAsia"/>
        </w:rPr>
        <w:t>生产环境部署规划</w:t>
      </w:r>
      <w:r>
        <w:tab/>
      </w:r>
      <w:r>
        <w:fldChar w:fldCharType="begin"/>
      </w:r>
      <w:r>
        <w:instrText xml:space="preserve"> PAGEREF _Toc9642 \h </w:instrText>
      </w:r>
      <w:r>
        <w:fldChar w:fldCharType="separate"/>
      </w:r>
      <w:r>
        <w:t>5</w:t>
      </w:r>
      <w:r>
        <w:fldChar w:fldCharType="end"/>
      </w:r>
      <w:r>
        <w:fldChar w:fldCharType="end"/>
      </w:r>
    </w:p>
    <w:p>
      <w:pPr>
        <w:pStyle w:val="16"/>
        <w:tabs>
          <w:tab w:val="right" w:leader="dot" w:pos="8306"/>
        </w:tabs>
      </w:pPr>
      <w:r>
        <w:fldChar w:fldCharType="begin"/>
      </w:r>
      <w:r>
        <w:instrText xml:space="preserve"> HYPERLINK \l "_Toc27404" </w:instrText>
      </w:r>
      <w:r>
        <w:fldChar w:fldCharType="separate"/>
      </w:r>
      <w:r>
        <w:t xml:space="preserve">3. </w:t>
      </w:r>
      <w:r>
        <w:rPr>
          <w:rFonts w:hint="eastAsia"/>
        </w:rPr>
        <w:t>安装前准备</w:t>
      </w:r>
      <w:r>
        <w:tab/>
      </w:r>
      <w:r>
        <w:fldChar w:fldCharType="begin"/>
      </w:r>
      <w:r>
        <w:instrText xml:space="preserve"> PAGEREF _Toc27404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"_Toc20340" </w:instrText>
      </w:r>
      <w:r>
        <w:fldChar w:fldCharType="separate"/>
      </w:r>
      <w:r>
        <w:t xml:space="preserve">3.1. </w:t>
      </w:r>
      <w:r>
        <w:rPr>
          <w:rFonts w:hint="eastAsia"/>
        </w:rPr>
        <w:t>硬件准备</w:t>
      </w:r>
      <w:r>
        <w:tab/>
      </w:r>
      <w:r>
        <w:fldChar w:fldCharType="begin"/>
      </w:r>
      <w:r>
        <w:instrText xml:space="preserve"> PAGEREF _Toc20340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"_Toc6147" </w:instrText>
      </w:r>
      <w:r>
        <w:fldChar w:fldCharType="separate"/>
      </w:r>
      <w:r>
        <w:t xml:space="preserve">3.2. </w:t>
      </w:r>
      <w:r>
        <w:rPr>
          <w:rFonts w:hint="eastAsia"/>
        </w:rPr>
        <w:t>软件准备</w:t>
      </w:r>
      <w:r>
        <w:tab/>
      </w:r>
      <w:r>
        <w:fldChar w:fldCharType="begin"/>
      </w:r>
      <w:r>
        <w:instrText xml:space="preserve"> PAGEREF _Toc6147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"_Toc25268" </w:instrText>
      </w:r>
      <w:r>
        <w:fldChar w:fldCharType="separate"/>
      </w:r>
      <w:r>
        <w:t xml:space="preserve">3.3. </w:t>
      </w:r>
      <w:r>
        <w:rPr>
          <w:rFonts w:hint="eastAsia"/>
        </w:rPr>
        <w:t>环境准备</w:t>
      </w:r>
      <w:r>
        <w:tab/>
      </w:r>
      <w:r>
        <w:fldChar w:fldCharType="begin"/>
      </w:r>
      <w:r>
        <w:instrText xml:space="preserve"> PAGEREF _Toc25268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"_Toc17523" </w:instrText>
      </w:r>
      <w:r>
        <w:fldChar w:fldCharType="separate"/>
      </w:r>
      <w:r>
        <w:t xml:space="preserve">4. </w:t>
      </w:r>
      <w:r>
        <w:rPr>
          <w:rFonts w:hint="eastAsia"/>
        </w:rPr>
        <w:t>可用性检查</w:t>
      </w:r>
      <w:r>
        <w:tab/>
      </w:r>
      <w:r>
        <w:fldChar w:fldCharType="begin"/>
      </w:r>
      <w:r>
        <w:instrText xml:space="preserve"> PAGEREF _Toc17523 \h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"_Toc3309" </w:instrText>
      </w:r>
      <w:r>
        <w:fldChar w:fldCharType="separate"/>
      </w:r>
      <w:r>
        <w:t xml:space="preserve">4.1. </w:t>
      </w:r>
      <w:r>
        <w:rPr>
          <w:rFonts w:hint="eastAsia"/>
        </w:rPr>
        <w:t>硬件检查</w:t>
      </w:r>
      <w:r>
        <w:tab/>
      </w:r>
      <w:r>
        <w:fldChar w:fldCharType="begin"/>
      </w:r>
      <w:r>
        <w:instrText xml:space="preserve"> PAGEREF _Toc3309 \h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"_Toc4298" </w:instrText>
      </w:r>
      <w:r>
        <w:fldChar w:fldCharType="separate"/>
      </w:r>
      <w:r>
        <w:t xml:space="preserve">4.2. </w:t>
      </w:r>
      <w:r>
        <w:rPr>
          <w:rFonts w:hint="eastAsia"/>
        </w:rPr>
        <w:t>软件检查</w:t>
      </w:r>
      <w:r>
        <w:tab/>
      </w:r>
      <w:r>
        <w:fldChar w:fldCharType="begin"/>
      </w:r>
      <w:r>
        <w:instrText xml:space="preserve"> PAGEREF _Toc4298 \h </w:instrText>
      </w:r>
      <w:r>
        <w:fldChar w:fldCharType="separate"/>
      </w:r>
      <w:r>
        <w:t>8</w:t>
      </w:r>
      <w:r>
        <w:fldChar w:fldCharType="end"/>
      </w:r>
      <w:r>
        <w:fldChar w:fldCharType="end"/>
      </w:r>
    </w:p>
    <w:p>
      <w:pPr>
        <w:pStyle w:val="17"/>
        <w:tabs>
          <w:tab w:val="right" w:leader="dot" w:pos="8306"/>
        </w:tabs>
      </w:pPr>
      <w:r>
        <w:fldChar w:fldCharType="begin"/>
      </w:r>
      <w:r>
        <w:instrText xml:space="preserve"> HYPERLINK \l "_Toc14849" </w:instrText>
      </w:r>
      <w:r>
        <w:fldChar w:fldCharType="separate"/>
      </w:r>
      <w:r>
        <w:t xml:space="preserve">4.3. </w:t>
      </w:r>
      <w:r>
        <w:rPr>
          <w:rFonts w:hint="eastAsia"/>
        </w:rPr>
        <w:t>环境检查</w:t>
      </w:r>
      <w:r>
        <w:tab/>
      </w:r>
      <w:r>
        <w:fldChar w:fldCharType="begin"/>
      </w:r>
      <w:r>
        <w:instrText xml:space="preserve"> PAGEREF _Toc14849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"_Toc31204" </w:instrText>
      </w:r>
      <w:r>
        <w:fldChar w:fldCharType="separate"/>
      </w:r>
      <w:r>
        <w:t xml:space="preserve">4.3.1. </w:t>
      </w:r>
      <w:r>
        <w:rPr>
          <w:rFonts w:hint="eastAsia"/>
        </w:rPr>
        <w:t>硬件环境检查</w:t>
      </w:r>
      <w:r>
        <w:tab/>
      </w:r>
      <w:r>
        <w:fldChar w:fldCharType="begin"/>
      </w:r>
      <w:r>
        <w:instrText xml:space="preserve"> PAGEREF _Toc31204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"_Toc14807" </w:instrText>
      </w:r>
      <w:r>
        <w:fldChar w:fldCharType="separate"/>
      </w:r>
      <w:r>
        <w:t xml:space="preserve">4.3.2. </w:t>
      </w:r>
      <w:r>
        <w:rPr>
          <w:rFonts w:hint="eastAsia"/>
        </w:rPr>
        <w:t>网络环境检查</w:t>
      </w:r>
      <w:r>
        <w:tab/>
      </w:r>
      <w:r>
        <w:fldChar w:fldCharType="begin"/>
      </w:r>
      <w:r>
        <w:instrText xml:space="preserve"> PAGEREF _Toc14807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"_Toc9369" </w:instrText>
      </w:r>
      <w:r>
        <w:fldChar w:fldCharType="separate"/>
      </w:r>
      <w:r>
        <w:rPr>
          <w:rFonts w:cs="Times New Roman"/>
        </w:rPr>
        <w:t xml:space="preserve">5. </w:t>
      </w:r>
      <w:r>
        <w:rPr>
          <w:rFonts w:hint="eastAsia" w:cs="Times New Roman"/>
        </w:rPr>
        <w:t>安装安全隔离与信息交换系统</w:t>
      </w:r>
      <w:r>
        <w:tab/>
      </w:r>
      <w:r>
        <w:fldChar w:fldCharType="begin"/>
      </w:r>
      <w:r>
        <w:instrText xml:space="preserve"> PAGEREF _Toc9369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"_Toc10284" </w:instrText>
      </w:r>
      <w:r>
        <w:fldChar w:fldCharType="separate"/>
      </w:r>
      <w:r>
        <w:t xml:space="preserve">5.1. </w:t>
      </w:r>
      <w:r>
        <w:rPr>
          <w:rFonts w:hint="eastAsia"/>
        </w:rPr>
        <w:t>安装模块1</w:t>
      </w:r>
      <w:r>
        <w:tab/>
      </w:r>
      <w:r>
        <w:fldChar w:fldCharType="begin"/>
      </w:r>
      <w:r>
        <w:instrText xml:space="preserve"> PAGEREF _Toc10284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"_Toc18137" </w:instrText>
      </w:r>
      <w:r>
        <w:fldChar w:fldCharType="separate"/>
      </w:r>
      <w:r>
        <w:t xml:space="preserve">5.1.1. </w:t>
      </w:r>
      <w:r>
        <w:rPr>
          <w:rFonts w:hint="eastAsia"/>
        </w:rPr>
        <w:t>安装须知</w:t>
      </w:r>
      <w:r>
        <w:tab/>
      </w:r>
      <w:r>
        <w:fldChar w:fldCharType="begin"/>
      </w:r>
      <w:r>
        <w:instrText xml:space="preserve"> PAGEREF _Toc18137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"_Toc20431" </w:instrText>
      </w:r>
      <w:r>
        <w:fldChar w:fldCharType="separate"/>
      </w:r>
      <w:r>
        <w:t xml:space="preserve">5.1.2. </w:t>
      </w:r>
      <w:r>
        <w:rPr>
          <w:rFonts w:hint="eastAsia"/>
        </w:rPr>
        <w:t>安装软件包</w:t>
      </w:r>
      <w:r>
        <w:tab/>
      </w:r>
      <w:r>
        <w:fldChar w:fldCharType="begin"/>
      </w:r>
      <w:r>
        <w:instrText xml:space="preserve"> PAGEREF _Toc20431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"_Toc8810" </w:instrText>
      </w:r>
      <w:r>
        <w:fldChar w:fldCharType="separate"/>
      </w:r>
      <w:r>
        <w:t xml:space="preserve">5.1.3. </w:t>
      </w:r>
      <w:r>
        <w:rPr>
          <w:rFonts w:hint="eastAsia"/>
        </w:rPr>
        <w:t>操作步骤</w:t>
      </w:r>
      <w:r>
        <w:tab/>
      </w:r>
      <w:r>
        <w:fldChar w:fldCharType="begin"/>
      </w:r>
      <w:r>
        <w:instrText xml:space="preserve"> PAGEREF _Toc8810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"_Toc19673" </w:instrText>
      </w:r>
      <w:r>
        <w:fldChar w:fldCharType="separate"/>
      </w:r>
      <w:r>
        <w:t xml:space="preserve">6. </w:t>
      </w:r>
      <w:r>
        <w:rPr>
          <w:rFonts w:hint="eastAsia"/>
        </w:rPr>
        <w:t>安装后检查</w:t>
      </w:r>
      <w:r>
        <w:tab/>
      </w:r>
      <w:r>
        <w:fldChar w:fldCharType="begin"/>
      </w:r>
      <w:r>
        <w:instrText xml:space="preserve"> PAGEREF _Toc19673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"_Toc26301" </w:instrText>
      </w:r>
      <w:r>
        <w:fldChar w:fldCharType="separate"/>
      </w:r>
      <w:r>
        <w:rPr>
          <w:rFonts w:hint="eastAsia"/>
        </w:rPr>
        <w:t>检查管理功能运行</w:t>
      </w:r>
      <w:r>
        <w:tab/>
      </w:r>
      <w:r>
        <w:fldChar w:fldCharType="begin"/>
      </w:r>
      <w:r>
        <w:instrText xml:space="preserve"> PAGEREF _Toc26301 \h </w:instrText>
      </w:r>
      <w:r>
        <w:fldChar w:fldCharType="separate"/>
      </w:r>
      <w:r>
        <w:t>12</w:t>
      </w:r>
      <w:r>
        <w:fldChar w:fldCharType="end"/>
      </w:r>
      <w:r>
        <w:fldChar w:fldCharType="end"/>
      </w:r>
    </w:p>
    <w:p>
      <w:pPr>
        <w:pStyle w:val="16"/>
        <w:tabs>
          <w:tab w:val="right" w:leader="dot" w:pos="8306"/>
        </w:tabs>
      </w:pPr>
      <w:r>
        <w:fldChar w:fldCharType="begin"/>
      </w:r>
      <w:r>
        <w:instrText xml:space="preserve"> HYPERLINK \l "_Toc3496" </w:instrText>
      </w:r>
      <w:r>
        <w:fldChar w:fldCharType="separate"/>
      </w:r>
      <w:r>
        <w:t xml:space="preserve">7. </w:t>
      </w:r>
      <w:r>
        <w:rPr>
          <w:rFonts w:hint="eastAsia"/>
        </w:rPr>
        <w:t>FAQ</w:t>
      </w:r>
      <w:r>
        <w:tab/>
      </w:r>
      <w:r>
        <w:fldChar w:fldCharType="begin"/>
      </w:r>
      <w:r>
        <w:instrText xml:space="preserve"> PAGEREF _Toc3496 \h </w:instrText>
      </w:r>
      <w:r>
        <w:fldChar w:fldCharType="separate"/>
      </w:r>
      <w:r>
        <w:t>13</w:t>
      </w:r>
      <w:r>
        <w:fldChar w:fldCharType="end"/>
      </w:r>
      <w:r>
        <w:fldChar w:fldCharType="end"/>
      </w:r>
    </w:p>
    <w:p>
      <w:pPr>
        <w:ind w:firstLine="0"/>
        <w:rPr>
          <w:rFonts w:ascii="宋体" w:hAnsi="宋体"/>
          <w:sz w:val="44"/>
          <w:szCs w:val="44"/>
        </w:rPr>
      </w:pPr>
      <w:r>
        <w:rPr>
          <w:rFonts w:ascii="宋体" w:hAnsi="宋体"/>
          <w:szCs w:val="44"/>
        </w:rPr>
        <w:fldChar w:fldCharType="end"/>
      </w:r>
    </w:p>
    <w:p>
      <w:pPr>
        <w:widowControl/>
        <w:spacing w:line="240" w:lineRule="auto"/>
        <w:ind w:firstLine="0"/>
        <w:jc w:val="left"/>
        <w:rPr>
          <w:rFonts w:ascii="宋体" w:hAnsi="宋体"/>
          <w:sz w:val="44"/>
          <w:szCs w:val="44"/>
        </w:rPr>
      </w:pPr>
      <w:r>
        <w:rPr>
          <w:rFonts w:ascii="宋体" w:hAnsi="宋体"/>
          <w:sz w:val="44"/>
          <w:szCs w:val="44"/>
        </w:rPr>
        <w:br w:type="page"/>
      </w:r>
    </w:p>
    <w:p>
      <w:pPr>
        <w:widowControl/>
        <w:ind w:firstLine="0"/>
        <w:jc w:val="left"/>
        <w:rPr>
          <w:rFonts w:ascii="宋体" w:hAnsi="宋体"/>
          <w:sz w:val="44"/>
          <w:szCs w:val="44"/>
        </w:rPr>
        <w:sectPr>
          <w:headerReference r:id="rId9" w:type="default"/>
          <w:footerReference r:id="rId10" w:type="default"/>
          <w:pgSz w:w="11906" w:h="16838"/>
          <w:pgMar w:top="1440" w:right="1800" w:bottom="1440" w:left="1800" w:header="851" w:footer="850" w:gutter="0"/>
          <w:pgNumType w:fmt="lowerRoman" w:start="1"/>
          <w:cols w:space="425" w:num="1"/>
          <w:docGrid w:type="lines" w:linePitch="312" w:charSpace="0"/>
        </w:sectPr>
      </w:pPr>
    </w:p>
    <w:p>
      <w:pPr>
        <w:pStyle w:val="2"/>
      </w:pPr>
      <w:bookmarkStart w:id="2" w:name="_Toc26816"/>
      <w:r>
        <w:rPr>
          <w:rFonts w:hint="eastAsia"/>
        </w:rPr>
        <w:t>产品概述</w:t>
      </w:r>
      <w:bookmarkEnd w:id="2"/>
    </w:p>
    <w:p>
      <w:pPr>
        <w:pStyle w:val="3"/>
      </w:pPr>
      <w:bookmarkStart w:id="3" w:name="_Toc19327"/>
      <w:r>
        <w:rPr>
          <w:rFonts w:hint="eastAsia"/>
        </w:rPr>
        <w:t>产品定位</w:t>
      </w:r>
      <w:bookmarkEnd w:id="3"/>
    </w:p>
    <w:p>
      <w:pPr>
        <w:pStyle w:val="65"/>
        <w:ind w:firstLine="420"/>
        <w:rPr>
          <w:rFonts w:ascii="宋体" w:hAnsi="宋体"/>
          <w:sz w:val="21"/>
          <w:szCs w:val="21"/>
        </w:rPr>
      </w:pPr>
      <w:r>
        <w:rPr>
          <w:rFonts w:hint="eastAsia" w:ascii="宋体" w:hAnsi="宋体"/>
          <w:sz w:val="21"/>
          <w:szCs w:val="21"/>
        </w:rPr>
        <w:t>国家保密局对安全隔离与信息交换类产品的应用进行了规定，规定安全隔离与信息交换系统在以下四种网络环境下应用：</w:t>
      </w:r>
    </w:p>
    <w:p>
      <w:pPr>
        <w:pStyle w:val="66"/>
        <w:rPr>
          <w:rFonts w:ascii="宋体" w:hAnsi="宋体" w:cs="宋体"/>
          <w:sz w:val="21"/>
          <w:szCs w:val="21"/>
        </w:rPr>
      </w:pPr>
      <w:r>
        <w:rPr>
          <w:rFonts w:hint="eastAsia" w:ascii="宋体" w:hAnsi="宋体" w:cs="宋体"/>
          <w:sz w:val="21"/>
          <w:szCs w:val="21"/>
        </w:rPr>
        <w:t>不同的涉密网络之间；</w:t>
      </w:r>
    </w:p>
    <w:p>
      <w:pPr>
        <w:pStyle w:val="66"/>
        <w:rPr>
          <w:rFonts w:ascii="宋体" w:hAnsi="宋体" w:cs="宋体"/>
          <w:sz w:val="21"/>
          <w:szCs w:val="21"/>
        </w:rPr>
      </w:pPr>
      <w:r>
        <w:rPr>
          <w:rFonts w:hint="eastAsia" w:ascii="宋体" w:hAnsi="宋体" w:cs="宋体"/>
          <w:sz w:val="21"/>
          <w:szCs w:val="21"/>
        </w:rPr>
        <w:t>同一涉密网络的不同安全域之间；</w:t>
      </w:r>
    </w:p>
    <w:p>
      <w:pPr>
        <w:pStyle w:val="66"/>
        <w:rPr>
          <w:rFonts w:ascii="宋体" w:hAnsi="宋体" w:cs="宋体"/>
          <w:sz w:val="21"/>
          <w:szCs w:val="21"/>
        </w:rPr>
      </w:pPr>
      <w:r>
        <w:rPr>
          <w:rFonts w:hint="eastAsia" w:ascii="宋体" w:hAnsi="宋体" w:cs="宋体"/>
          <w:sz w:val="21"/>
          <w:szCs w:val="21"/>
        </w:rPr>
        <w:t>与Internet物理隔离的网络与秘密级涉密网络之间；</w:t>
      </w:r>
    </w:p>
    <w:p>
      <w:pPr>
        <w:pStyle w:val="66"/>
        <w:rPr>
          <w:rFonts w:ascii="宋体" w:hAnsi="宋体" w:cs="宋体"/>
          <w:sz w:val="21"/>
          <w:szCs w:val="21"/>
        </w:rPr>
      </w:pPr>
      <w:r>
        <w:rPr>
          <w:rFonts w:hint="eastAsia" w:ascii="宋体" w:hAnsi="宋体" w:cs="宋体"/>
          <w:sz w:val="21"/>
          <w:szCs w:val="21"/>
        </w:rPr>
        <w:t>未与涉密网络连接的网络与Internet之间。</w:t>
      </w:r>
    </w:p>
    <w:p>
      <w:pPr>
        <w:pStyle w:val="65"/>
        <w:ind w:left="480" w:firstLine="0" w:firstLineChars="0"/>
        <w:rPr>
          <w:rFonts w:ascii="宋体" w:hAnsi="宋体"/>
          <w:sz w:val="21"/>
          <w:szCs w:val="21"/>
        </w:rPr>
      </w:pPr>
      <w:r>
        <w:rPr>
          <w:rFonts w:hint="eastAsia" w:ascii="宋体" w:hAnsi="宋体"/>
          <w:sz w:val="21"/>
          <w:szCs w:val="21"/>
        </w:rPr>
        <w:t>在实际的应用环境中，以下环境建议使用网闸：</w:t>
      </w:r>
    </w:p>
    <w:p>
      <w:pPr>
        <w:pStyle w:val="66"/>
        <w:rPr>
          <w:rFonts w:ascii="宋体" w:hAnsi="宋体" w:cs="宋体"/>
          <w:sz w:val="21"/>
          <w:szCs w:val="21"/>
        </w:rPr>
      </w:pPr>
      <w:r>
        <w:rPr>
          <w:rFonts w:hint="eastAsia" w:ascii="宋体" w:hAnsi="宋体" w:cs="宋体"/>
          <w:sz w:val="21"/>
          <w:szCs w:val="21"/>
        </w:rPr>
        <w:t>涉密网与非涉密网之间；</w:t>
      </w:r>
    </w:p>
    <w:p>
      <w:pPr>
        <w:pStyle w:val="66"/>
        <w:rPr>
          <w:rFonts w:ascii="宋体" w:hAnsi="宋体" w:cs="宋体"/>
          <w:sz w:val="21"/>
          <w:szCs w:val="21"/>
        </w:rPr>
      </w:pPr>
      <w:r>
        <w:rPr>
          <w:rFonts w:hint="eastAsia" w:ascii="宋体" w:hAnsi="宋体" w:cs="宋体"/>
          <w:sz w:val="21"/>
          <w:szCs w:val="21"/>
        </w:rPr>
        <w:t>局域网与互联网之间（内网与外网之间）；</w:t>
      </w:r>
    </w:p>
    <w:p>
      <w:pPr>
        <w:pStyle w:val="66"/>
        <w:rPr>
          <w:rFonts w:ascii="宋体" w:hAnsi="宋体" w:cs="宋体"/>
          <w:sz w:val="21"/>
          <w:szCs w:val="21"/>
        </w:rPr>
      </w:pPr>
      <w:r>
        <w:rPr>
          <w:rFonts w:hint="eastAsia" w:ascii="宋体" w:hAnsi="宋体" w:cs="宋体"/>
          <w:sz w:val="21"/>
          <w:szCs w:val="21"/>
        </w:rPr>
        <w:t>有些局域网络，特别是政府办公网络，涉及政府敏感信息，有时需要与互联网在物理上断开，用物理隔离网闸是一个常用的办法。</w:t>
      </w:r>
    </w:p>
    <w:p>
      <w:pPr>
        <w:pStyle w:val="66"/>
        <w:rPr>
          <w:rFonts w:ascii="宋体" w:hAnsi="宋体" w:cs="宋体"/>
          <w:sz w:val="21"/>
          <w:szCs w:val="21"/>
        </w:rPr>
      </w:pPr>
      <w:r>
        <w:rPr>
          <w:rFonts w:hint="eastAsia" w:ascii="宋体" w:hAnsi="宋体" w:cs="宋体"/>
          <w:sz w:val="21"/>
          <w:szCs w:val="21"/>
        </w:rPr>
        <w:t>办公网与业务网之间；</w:t>
      </w:r>
    </w:p>
    <w:p>
      <w:pPr>
        <w:pStyle w:val="66"/>
        <w:rPr>
          <w:rFonts w:ascii="宋体" w:hAnsi="宋体" w:cs="宋体"/>
          <w:sz w:val="21"/>
          <w:szCs w:val="21"/>
        </w:rPr>
      </w:pPr>
      <w:r>
        <w:rPr>
          <w:rFonts w:hint="eastAsia" w:ascii="宋体" w:hAnsi="宋体" w:cs="宋体"/>
          <w:sz w:val="21"/>
          <w:szCs w:val="21"/>
        </w:rPr>
        <w:t>由于办公网络与业务网络的信息敏感程度不同，例如，银行的办公网络和银行业务网络就是很典型的信息敏感程度不同的两类网络。为了提高工作效率，办公网络有时需要与业务网络交换信息。为解决业务网络的安全，比较好的办法就是在办公网与业务网之间使用物理隔离网闸，实现两类网络的物理隔离。</w:t>
      </w:r>
    </w:p>
    <w:p>
      <w:pPr>
        <w:pStyle w:val="66"/>
        <w:rPr>
          <w:rFonts w:ascii="宋体" w:hAnsi="宋体" w:cs="宋体"/>
          <w:sz w:val="21"/>
          <w:szCs w:val="21"/>
        </w:rPr>
      </w:pPr>
      <w:r>
        <w:rPr>
          <w:rFonts w:hint="eastAsia" w:ascii="宋体" w:hAnsi="宋体" w:cs="宋体"/>
          <w:sz w:val="21"/>
          <w:szCs w:val="21"/>
        </w:rPr>
        <w:t>电子政务的内网与专网之间；</w:t>
      </w:r>
    </w:p>
    <w:p>
      <w:pPr>
        <w:pStyle w:val="66"/>
        <w:rPr>
          <w:rFonts w:ascii="宋体" w:hAnsi="宋体" w:cs="宋体"/>
          <w:sz w:val="21"/>
          <w:szCs w:val="21"/>
        </w:rPr>
      </w:pPr>
      <w:r>
        <w:rPr>
          <w:rFonts w:hint="eastAsia" w:ascii="宋体" w:hAnsi="宋体" w:cs="宋体"/>
          <w:sz w:val="21"/>
          <w:szCs w:val="21"/>
        </w:rPr>
        <w:t>在电子政务系统建设中要求政府内网与外网之间用逻辑隔离，在政府专网与内网之间用物理隔离。现常用的方法是用物理隔离网闸来实现。</w:t>
      </w:r>
    </w:p>
    <w:p>
      <w:pPr>
        <w:pStyle w:val="66"/>
        <w:rPr>
          <w:rFonts w:ascii="宋体" w:hAnsi="宋体" w:cs="宋体"/>
          <w:sz w:val="21"/>
          <w:szCs w:val="21"/>
        </w:rPr>
      </w:pPr>
      <w:r>
        <w:rPr>
          <w:rFonts w:hint="eastAsia" w:ascii="宋体" w:hAnsi="宋体" w:cs="宋体"/>
          <w:sz w:val="21"/>
          <w:szCs w:val="21"/>
        </w:rPr>
        <w:t>业务网与互联网之间；</w:t>
      </w:r>
      <w:r>
        <w:rPr>
          <w:rFonts w:hint="eastAsia" w:ascii="宋体" w:hAnsi="宋体" w:cs="宋体"/>
          <w:sz w:val="21"/>
          <w:szCs w:val="21"/>
        </w:rPr>
        <w:br w:type="textWrapping"/>
      </w:r>
      <w:r>
        <w:rPr>
          <w:rFonts w:hint="eastAsia" w:ascii="宋体" w:hAnsi="宋体" w:cs="宋体"/>
          <w:sz w:val="21"/>
          <w:szCs w:val="21"/>
        </w:rPr>
        <w:t>电子商务网络一边连接着业务网络服务器，一边通过互联网连接着广大民众。为了保障业务网络服务器的安全，在业务网络与互联网之间应实现物理隔离。</w:t>
      </w:r>
    </w:p>
    <w:p>
      <w:pPr>
        <w:pStyle w:val="65"/>
        <w:ind w:firstLine="420"/>
        <w:rPr>
          <w:rFonts w:ascii="宋体" w:hAnsi="宋体"/>
          <w:sz w:val="21"/>
          <w:szCs w:val="21"/>
        </w:rPr>
      </w:pPr>
      <w:r>
        <w:rPr>
          <w:rFonts w:hint="eastAsia" w:ascii="宋体" w:hAnsi="宋体"/>
          <w:sz w:val="21"/>
          <w:szCs w:val="21"/>
        </w:rPr>
        <w:t>360安全隔离与信息交换系统GAP系列，严格遵照国家有关主管部门的设计规范要求所设计开发，具有完全自主知识产权的安全隔离与信息交换系统。该产品是利用网络隔离技术的访问控制产品，处于网络边界，连接两个或多个安全等级不同的网络，主要应用于政府，军队，医疗卫生，能源，金融等多领域网络建设中，对重点数据提供高安全隔离的保护。主要应用定位包括：</w:t>
      </w:r>
    </w:p>
    <w:p>
      <w:pPr>
        <w:pStyle w:val="66"/>
        <w:rPr>
          <w:rFonts w:ascii="宋体" w:hAnsi="宋体" w:cs="宋体"/>
          <w:sz w:val="21"/>
          <w:szCs w:val="21"/>
        </w:rPr>
      </w:pPr>
      <w:r>
        <w:rPr>
          <w:rFonts w:hint="eastAsia" w:ascii="宋体" w:hAnsi="宋体" w:cs="宋体"/>
          <w:sz w:val="21"/>
          <w:szCs w:val="21"/>
        </w:rPr>
        <w:t>电子政务网建设，政务内网和外网之间的数据交换；</w:t>
      </w:r>
    </w:p>
    <w:p>
      <w:pPr>
        <w:pStyle w:val="66"/>
        <w:rPr>
          <w:rFonts w:ascii="宋体" w:hAnsi="宋体" w:cs="宋体"/>
          <w:sz w:val="21"/>
          <w:szCs w:val="21"/>
        </w:rPr>
      </w:pPr>
      <w:r>
        <w:rPr>
          <w:rFonts w:hint="eastAsia" w:ascii="宋体" w:hAnsi="宋体" w:cs="宋体"/>
          <w:sz w:val="21"/>
          <w:szCs w:val="21"/>
        </w:rPr>
        <w:t>各级政府及企业的安全接入平台建设；</w:t>
      </w:r>
    </w:p>
    <w:p>
      <w:pPr>
        <w:pStyle w:val="66"/>
        <w:rPr>
          <w:rFonts w:ascii="宋体" w:hAnsi="宋体" w:cs="宋体"/>
          <w:sz w:val="21"/>
          <w:szCs w:val="21"/>
        </w:rPr>
      </w:pPr>
      <w:r>
        <w:rPr>
          <w:rFonts w:hint="eastAsia" w:ascii="宋体" w:hAnsi="宋体" w:cs="宋体"/>
          <w:sz w:val="21"/>
          <w:szCs w:val="21"/>
        </w:rPr>
        <w:t>各政府部门对外提供便民服务的接口，需要将内部部分文件或数据库对外发布；</w:t>
      </w:r>
    </w:p>
    <w:p>
      <w:pPr>
        <w:pStyle w:val="66"/>
        <w:rPr>
          <w:rFonts w:ascii="宋体" w:hAnsi="宋体" w:cs="宋体"/>
          <w:sz w:val="21"/>
          <w:szCs w:val="21"/>
        </w:rPr>
      </w:pPr>
      <w:r>
        <w:rPr>
          <w:rFonts w:hint="eastAsia" w:ascii="宋体" w:hAnsi="宋体" w:cs="宋体"/>
          <w:sz w:val="21"/>
          <w:szCs w:val="21"/>
        </w:rPr>
        <w:t>各政府部门的不同安全域之间进行数据交换的接口；</w:t>
      </w:r>
    </w:p>
    <w:p>
      <w:pPr>
        <w:pStyle w:val="66"/>
        <w:rPr>
          <w:rFonts w:ascii="宋体" w:hAnsi="宋体" w:cs="宋体"/>
          <w:sz w:val="21"/>
          <w:szCs w:val="21"/>
        </w:rPr>
      </w:pPr>
      <w:r>
        <w:rPr>
          <w:rFonts w:hint="eastAsia" w:ascii="宋体" w:hAnsi="宋体" w:cs="宋体"/>
          <w:sz w:val="21"/>
          <w:szCs w:val="21"/>
        </w:rPr>
        <w:t>各政府部门与业务相关的其他政府部门之间进行数据交换的接口；</w:t>
      </w:r>
    </w:p>
    <w:p>
      <w:pPr>
        <w:pStyle w:val="66"/>
        <w:rPr>
          <w:rFonts w:ascii="宋体" w:hAnsi="宋体" w:cs="宋体"/>
          <w:sz w:val="21"/>
          <w:szCs w:val="21"/>
        </w:rPr>
      </w:pPr>
      <w:r>
        <w:rPr>
          <w:rFonts w:hint="eastAsia" w:ascii="宋体" w:hAnsi="宋体" w:cs="宋体"/>
          <w:sz w:val="21"/>
          <w:szCs w:val="21"/>
        </w:rPr>
        <w:t>各级医院办公网与业务网的物理隔离；</w:t>
      </w:r>
    </w:p>
    <w:p>
      <w:pPr>
        <w:pStyle w:val="66"/>
      </w:pPr>
      <w:r>
        <w:rPr>
          <w:rFonts w:hint="eastAsia" w:ascii="宋体" w:hAnsi="宋体" w:cs="宋体"/>
          <w:sz w:val="21"/>
          <w:szCs w:val="21"/>
        </w:rPr>
        <w:t>能源、金融、电力等核心业务网专网隔离；</w:t>
      </w:r>
    </w:p>
    <w:p>
      <w:pPr>
        <w:pStyle w:val="66"/>
      </w:pPr>
      <w:r>
        <w:rPr>
          <w:rFonts w:hint="eastAsia" w:ascii="宋体" w:hAnsi="宋体" w:cs="宋体"/>
          <w:sz w:val="21"/>
          <w:szCs w:val="21"/>
        </w:rPr>
        <w:t>军队涉密网络物理隔离。</w:t>
      </w:r>
    </w:p>
    <w:p>
      <w:pPr>
        <w:pStyle w:val="3"/>
      </w:pPr>
      <w:bookmarkStart w:id="4" w:name="_Toc2968"/>
      <w:r>
        <w:rPr>
          <w:rFonts w:hint="eastAsia"/>
        </w:rPr>
        <w:t>交换原理</w:t>
      </w:r>
      <w:bookmarkEnd w:id="4"/>
    </w:p>
    <w:p>
      <w:pPr>
        <w:pStyle w:val="65"/>
        <w:ind w:firstLine="420"/>
        <w:rPr>
          <w:rFonts w:ascii="宋体" w:hAnsi="宋体"/>
          <w:sz w:val="21"/>
          <w:szCs w:val="21"/>
        </w:rPr>
      </w:pPr>
      <w:r>
        <w:rPr>
          <w:rFonts w:hint="eastAsia" w:ascii="宋体" w:hAnsi="宋体"/>
          <w:sz w:val="21"/>
          <w:szCs w:val="21"/>
        </w:rPr>
        <w:t>安全隔离技术的原理是通过使用交换卡连接内外网主机，交换卡带有多种控制功能的固态开关，读写介质连接两个独立的主机系统，两个独立主机系统之间，不存在通信的物理连接和逻辑连接，直接的数据传输不存在任何的TCP/IP协议信息，只有格式化数据块的无协议“摆渡”。 被隔离网络之间的数据传递方式采用完全的私有方式，不具备任何通用性，完全模拟在两个隔离网络之间进行人工的信息交换。</w:t>
      </w:r>
    </w:p>
    <w:p>
      <w:pPr>
        <w:pStyle w:val="65"/>
        <w:ind w:firstLine="420"/>
        <w:rPr>
          <w:rFonts w:ascii="宋体" w:hAnsi="宋体"/>
          <w:sz w:val="21"/>
          <w:szCs w:val="21"/>
        </w:rPr>
      </w:pPr>
      <w:r>
        <w:rPr>
          <w:rFonts w:hint="eastAsia" w:ascii="宋体" w:hAnsi="宋体"/>
          <w:sz w:val="21"/>
          <w:szCs w:val="21"/>
        </w:rPr>
        <w:t>安全隔离与信息交换系统两侧网络之间所有的TCP/IP连接在其主机系统上都要进行完全的应用协议还原，还原后的应用层信息根据用户的策略进行强制检查后，以格式化数据块的方式通过隔离交换矩阵进行单向交换，在另外一端的主机系统上通过自身建立的安全会话进行最终的数据通信，即实现“协议落地、内容检测”。这样，既从物理上隔离、阻断了具有潜在攻击可能的一切连接，又进行了强制内容检测，从而实现最高级别的安全。</w:t>
      </w:r>
    </w:p>
    <w:p>
      <w:pPr>
        <w:pStyle w:val="65"/>
        <w:ind w:firstLine="420"/>
        <w:jc w:val="center"/>
        <w:rPr>
          <w:rFonts w:ascii="宋体" w:hAnsi="宋体"/>
          <w:sz w:val="21"/>
          <w:szCs w:val="21"/>
        </w:rPr>
      </w:pPr>
      <w:r>
        <w:rPr>
          <w:rFonts w:hint="eastAsia" w:ascii="宋体" w:hAnsi="宋体"/>
          <w:sz w:val="21"/>
          <w:szCs w:val="21"/>
        </w:rPr>
        <w:object>
          <v:shape id="_x0000_i1025" o:spt="75" type="#_x0000_t75" style="height:175.5pt;width:406.5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bookmarkStart w:id="5" w:name="_Toc319915894"/>
      <w:r>
        <w:rPr>
          <w:rFonts w:hint="eastAsia" w:ascii="宋体" w:hAnsi="宋体"/>
          <w:sz w:val="21"/>
          <w:szCs w:val="21"/>
        </w:rPr>
        <w:t xml:space="preserve">图 </w:t>
      </w:r>
      <w:r>
        <w:rPr>
          <w:rFonts w:hint="eastAsia" w:ascii="宋体" w:hAnsi="宋体"/>
          <w:sz w:val="21"/>
          <w:szCs w:val="21"/>
        </w:rPr>
        <w:fldChar w:fldCharType="begin"/>
      </w:r>
      <w:r>
        <w:rPr>
          <w:rFonts w:hint="eastAsia" w:ascii="宋体" w:hAnsi="宋体"/>
          <w:sz w:val="21"/>
          <w:szCs w:val="21"/>
        </w:rPr>
        <w:instrText xml:space="preserve"> SEQ 图 \* ARABIC </w:instrText>
      </w:r>
      <w:r>
        <w:rPr>
          <w:rFonts w:hint="eastAsia" w:ascii="宋体" w:hAnsi="宋体"/>
          <w:sz w:val="21"/>
          <w:szCs w:val="21"/>
        </w:rPr>
        <w:fldChar w:fldCharType="separate"/>
      </w:r>
      <w:r>
        <w:rPr>
          <w:rFonts w:hint="eastAsia" w:ascii="宋体" w:hAnsi="宋体"/>
          <w:sz w:val="21"/>
          <w:szCs w:val="21"/>
        </w:rPr>
        <w:t>1</w:t>
      </w:r>
      <w:r>
        <w:rPr>
          <w:rFonts w:hint="eastAsia" w:ascii="宋体" w:hAnsi="宋体"/>
          <w:sz w:val="21"/>
          <w:szCs w:val="21"/>
        </w:rPr>
        <w:fldChar w:fldCharType="end"/>
      </w:r>
      <w:r>
        <w:rPr>
          <w:rFonts w:hint="eastAsia" w:ascii="宋体" w:hAnsi="宋体"/>
          <w:sz w:val="21"/>
          <w:szCs w:val="21"/>
        </w:rPr>
        <w:t xml:space="preserve"> 360GAP系列产品数据摆渡原理图</w:t>
      </w:r>
      <w:bookmarkEnd w:id="5"/>
    </w:p>
    <w:p>
      <w:pPr>
        <w:widowControl/>
        <w:spacing w:line="240" w:lineRule="auto"/>
        <w:ind w:firstLine="0"/>
        <w:jc w:val="left"/>
        <w:rPr>
          <w:rFonts w:ascii="宋体" w:hAnsi="宋体" w:cs="宋体"/>
          <w:szCs w:val="21"/>
        </w:rPr>
      </w:pPr>
      <w:r>
        <w:rPr>
          <w:rFonts w:ascii="宋体" w:hAnsi="宋体"/>
          <w:szCs w:val="21"/>
        </w:rPr>
        <w:br w:type="page"/>
      </w:r>
    </w:p>
    <w:p>
      <w:pPr>
        <w:pStyle w:val="2"/>
      </w:pPr>
      <w:bookmarkStart w:id="6" w:name="_Toc15164"/>
      <w:r>
        <w:rPr>
          <w:rFonts w:hint="eastAsia"/>
        </w:rPr>
        <w:t>部署规划</w:t>
      </w:r>
      <w:bookmarkEnd w:id="6"/>
    </w:p>
    <w:p>
      <w:pPr>
        <w:pStyle w:val="3"/>
      </w:pPr>
      <w:bookmarkStart w:id="7" w:name="_Toc8626"/>
      <w:r>
        <w:rPr>
          <w:rFonts w:hint="eastAsia"/>
        </w:rPr>
        <w:t>安装部署总流程</w:t>
      </w:r>
      <w:bookmarkEnd w:id="7"/>
    </w:p>
    <w:p>
      <w:pPr>
        <w:pStyle w:val="54"/>
        <w:ind w:firstLine="420"/>
      </w:pPr>
      <w:r>
        <w:drawing>
          <wp:inline distT="0" distB="0" distL="0" distR="0">
            <wp:extent cx="5375275" cy="2970530"/>
            <wp:effectExtent l="0" t="0" r="0" b="1270"/>
            <wp:docPr id="583424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4719" name="图片 1"/>
                    <pic:cNvPicPr>
                      <a:picLocks noChangeAspect="1"/>
                    </pic:cNvPicPr>
                  </pic:nvPicPr>
                  <pic:blipFill>
                    <a:blip r:embed="rId19"/>
                    <a:stretch>
                      <a:fillRect/>
                    </a:stretch>
                  </pic:blipFill>
                  <pic:spPr>
                    <a:xfrm>
                      <a:off x="0" y="0"/>
                      <a:ext cx="5375275" cy="2970530"/>
                    </a:xfrm>
                    <a:prstGeom prst="rect">
                      <a:avLst/>
                    </a:prstGeom>
                  </pic:spPr>
                </pic:pic>
              </a:graphicData>
            </a:graphic>
          </wp:inline>
        </w:drawing>
      </w:r>
    </w:p>
    <w:p>
      <w:pPr>
        <w:pStyle w:val="65"/>
        <w:ind w:firstLine="420"/>
        <w:jc w:val="center"/>
      </w:pPr>
      <w:r>
        <w:rPr>
          <w:rFonts w:hint="eastAsia" w:ascii="宋体" w:hAnsi="宋体"/>
          <w:sz w:val="21"/>
          <w:szCs w:val="21"/>
        </w:rPr>
        <w:t xml:space="preserve">图 </w:t>
      </w:r>
      <w:r>
        <w:rPr>
          <w:rFonts w:ascii="宋体" w:hAnsi="宋体"/>
          <w:sz w:val="21"/>
          <w:szCs w:val="21"/>
        </w:rPr>
        <w:t>2</w:t>
      </w:r>
      <w:r>
        <w:rPr>
          <w:rFonts w:hint="eastAsia" w:ascii="宋体" w:hAnsi="宋体"/>
          <w:sz w:val="21"/>
          <w:szCs w:val="21"/>
        </w:rPr>
        <w:t xml:space="preserve"> 360GAP系列产品部署流程图</w:t>
      </w:r>
    </w:p>
    <w:p>
      <w:pPr>
        <w:pStyle w:val="3"/>
      </w:pPr>
      <w:bookmarkStart w:id="8" w:name="_Toc32412"/>
      <w:r>
        <w:rPr>
          <w:rFonts w:hint="eastAsia"/>
        </w:rPr>
        <w:t>测试环境部署规划</w:t>
      </w:r>
      <w:bookmarkEnd w:id="8"/>
    </w:p>
    <w:p>
      <w:pPr>
        <w:pStyle w:val="65"/>
        <w:numPr>
          <w:ilvl w:val="0"/>
          <w:numId w:val="7"/>
        </w:numPr>
        <w:ind w:firstLineChars="0"/>
        <w:jc w:val="left"/>
        <w:rPr>
          <w:rFonts w:ascii="宋体" w:hAnsi="宋体"/>
          <w:sz w:val="21"/>
          <w:szCs w:val="21"/>
        </w:rPr>
      </w:pPr>
      <w:r>
        <w:rPr>
          <w:rFonts w:hint="eastAsia" w:ascii="宋体" w:hAnsi="宋体"/>
          <w:sz w:val="21"/>
          <w:szCs w:val="21"/>
        </w:rPr>
        <w:t>与用户沟通其使用场景及具体业务需求；</w:t>
      </w:r>
    </w:p>
    <w:p>
      <w:pPr>
        <w:pStyle w:val="65"/>
        <w:numPr>
          <w:ilvl w:val="0"/>
          <w:numId w:val="7"/>
        </w:numPr>
        <w:ind w:firstLineChars="0"/>
        <w:jc w:val="left"/>
        <w:rPr>
          <w:rFonts w:ascii="宋体" w:hAnsi="宋体"/>
          <w:sz w:val="21"/>
          <w:szCs w:val="21"/>
        </w:rPr>
      </w:pPr>
      <w:r>
        <w:rPr>
          <w:rFonts w:hint="eastAsia" w:ascii="宋体" w:hAnsi="宋体"/>
          <w:sz w:val="21"/>
          <w:szCs w:val="21"/>
        </w:rPr>
        <w:t>现场确定设备上架的机柜位置、机架位置；</w:t>
      </w:r>
    </w:p>
    <w:p>
      <w:pPr>
        <w:pStyle w:val="65"/>
        <w:numPr>
          <w:ilvl w:val="0"/>
          <w:numId w:val="7"/>
        </w:numPr>
        <w:ind w:firstLineChars="0"/>
        <w:jc w:val="left"/>
        <w:rPr>
          <w:rFonts w:ascii="宋体" w:hAnsi="宋体"/>
          <w:sz w:val="21"/>
          <w:szCs w:val="21"/>
        </w:rPr>
      </w:pPr>
      <w:r>
        <w:rPr>
          <w:rFonts w:hint="eastAsia" w:ascii="宋体" w:hAnsi="宋体"/>
          <w:sz w:val="21"/>
          <w:szCs w:val="21"/>
        </w:rPr>
        <w:t>设备上架并对设备进行通电测试，观察设备供电是否正常，具备双电接口的设备只通单电时是否会有蜂鸣器告警；</w:t>
      </w:r>
    </w:p>
    <w:p>
      <w:pPr>
        <w:pStyle w:val="65"/>
        <w:numPr>
          <w:ilvl w:val="0"/>
          <w:numId w:val="7"/>
        </w:numPr>
        <w:ind w:firstLineChars="0"/>
        <w:jc w:val="left"/>
        <w:rPr>
          <w:rFonts w:ascii="宋体" w:hAnsi="宋体"/>
          <w:sz w:val="21"/>
          <w:szCs w:val="21"/>
        </w:rPr>
      </w:pPr>
      <w:r>
        <w:rPr>
          <w:rFonts w:hint="eastAsia" w:ascii="宋体" w:hAnsi="宋体"/>
          <w:sz w:val="21"/>
          <w:szCs w:val="21"/>
        </w:rPr>
        <w:t>客户准备测试服务器或测试环境，并将设备接入测试服务器或测试环境中，网络拓扑如下所示：</w:t>
      </w:r>
    </w:p>
    <w:p>
      <w:pPr>
        <w:pStyle w:val="65"/>
        <w:ind w:left="920" w:firstLine="0" w:firstLineChars="0"/>
        <w:jc w:val="left"/>
        <w:rPr>
          <w:rFonts w:ascii="宋体" w:hAnsi="宋体"/>
          <w:sz w:val="21"/>
          <w:szCs w:val="21"/>
        </w:rPr>
      </w:pPr>
      <w:r>
        <w:rPr>
          <w:rFonts w:ascii="宋体" w:hAnsi="宋体"/>
        </w:rPr>
        <w:drawing>
          <wp:inline distT="0" distB="0" distL="0" distR="0">
            <wp:extent cx="5274310" cy="1774825"/>
            <wp:effectExtent l="0" t="0" r="2540" b="0"/>
            <wp:docPr id="985150860" name="图片 9851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0860" name="图片 985150860"/>
                    <pic:cNvPicPr>
                      <a:picLocks noChangeAspect="1"/>
                    </pic:cNvPicPr>
                  </pic:nvPicPr>
                  <pic:blipFill>
                    <a:blip r:embed="rId20"/>
                    <a:stretch>
                      <a:fillRect/>
                    </a:stretch>
                  </pic:blipFill>
                  <pic:spPr>
                    <a:xfrm>
                      <a:off x="0" y="0"/>
                      <a:ext cx="5274310" cy="1774825"/>
                    </a:xfrm>
                    <a:prstGeom prst="rect">
                      <a:avLst/>
                    </a:prstGeom>
                  </pic:spPr>
                </pic:pic>
              </a:graphicData>
            </a:graphic>
          </wp:inline>
        </w:drawing>
      </w:r>
    </w:p>
    <w:p>
      <w:pPr>
        <w:pStyle w:val="65"/>
        <w:ind w:firstLine="420"/>
        <w:jc w:val="center"/>
      </w:pPr>
      <w:r>
        <w:rPr>
          <w:rFonts w:hint="eastAsia" w:ascii="宋体" w:hAnsi="宋体"/>
          <w:sz w:val="21"/>
          <w:szCs w:val="21"/>
        </w:rPr>
        <w:t xml:space="preserve">图 </w:t>
      </w:r>
      <w:r>
        <w:rPr>
          <w:rFonts w:ascii="宋体" w:hAnsi="宋体"/>
          <w:sz w:val="21"/>
          <w:szCs w:val="21"/>
        </w:rPr>
        <w:t>3</w:t>
      </w:r>
      <w:r>
        <w:rPr>
          <w:rFonts w:hint="eastAsia" w:ascii="宋体" w:hAnsi="宋体"/>
          <w:sz w:val="21"/>
          <w:szCs w:val="21"/>
        </w:rPr>
        <w:t xml:space="preserve"> 360GAP系列产品测试环境拓扑图</w:t>
      </w:r>
    </w:p>
    <w:p>
      <w:pPr>
        <w:pStyle w:val="65"/>
        <w:numPr>
          <w:ilvl w:val="0"/>
          <w:numId w:val="7"/>
        </w:numPr>
        <w:ind w:firstLineChars="0"/>
        <w:jc w:val="left"/>
        <w:rPr>
          <w:rFonts w:ascii="宋体" w:hAnsi="宋体"/>
          <w:sz w:val="21"/>
          <w:szCs w:val="21"/>
        </w:rPr>
      </w:pPr>
      <w:r>
        <w:rPr>
          <w:rFonts w:hint="eastAsia" w:ascii="宋体" w:hAnsi="宋体"/>
          <w:sz w:val="21"/>
          <w:szCs w:val="21"/>
        </w:rPr>
        <w:t>根据客户所提供的ip、掩码、网关等信息对设备业务口进行网络配置</w:t>
      </w:r>
    </w:p>
    <w:p>
      <w:pPr>
        <w:pStyle w:val="65"/>
        <w:numPr>
          <w:ilvl w:val="0"/>
          <w:numId w:val="7"/>
        </w:numPr>
        <w:ind w:firstLineChars="0"/>
        <w:jc w:val="left"/>
        <w:rPr>
          <w:rFonts w:ascii="宋体" w:hAnsi="宋体"/>
          <w:sz w:val="21"/>
          <w:szCs w:val="21"/>
        </w:rPr>
      </w:pPr>
      <w:r>
        <w:rPr>
          <w:rFonts w:hint="eastAsia" w:ascii="宋体" w:hAnsi="宋体"/>
          <w:sz w:val="21"/>
          <w:szCs w:val="21"/>
        </w:rPr>
        <w:t>根据客户所提供的测试环境，按测试用例或客户需求进行功能性测试；</w:t>
      </w:r>
    </w:p>
    <w:p>
      <w:pPr>
        <w:pStyle w:val="65"/>
        <w:numPr>
          <w:ilvl w:val="0"/>
          <w:numId w:val="7"/>
        </w:numPr>
        <w:ind w:firstLineChars="0"/>
        <w:jc w:val="left"/>
        <w:rPr>
          <w:rFonts w:ascii="宋体" w:hAnsi="宋体"/>
          <w:sz w:val="21"/>
          <w:szCs w:val="21"/>
        </w:rPr>
      </w:pPr>
      <w:r>
        <w:rPr>
          <w:rFonts w:hint="eastAsia" w:ascii="宋体" w:hAnsi="宋体"/>
          <w:sz w:val="21"/>
          <w:szCs w:val="21"/>
        </w:rPr>
        <w:t>功能性测试通过后，添加测试业务，模拟实体生产环境进行业务测试；</w:t>
      </w:r>
    </w:p>
    <w:p>
      <w:pPr>
        <w:pStyle w:val="65"/>
        <w:numPr>
          <w:ilvl w:val="0"/>
          <w:numId w:val="7"/>
        </w:numPr>
        <w:ind w:firstLineChars="0"/>
        <w:jc w:val="left"/>
        <w:rPr>
          <w:rFonts w:ascii="宋体" w:hAnsi="宋体"/>
          <w:sz w:val="21"/>
          <w:szCs w:val="21"/>
        </w:rPr>
      </w:pPr>
      <w:r>
        <w:rPr>
          <w:rFonts w:hint="eastAsia" w:ascii="宋体" w:hAnsi="宋体"/>
          <w:sz w:val="21"/>
          <w:szCs w:val="21"/>
        </w:rPr>
        <w:t>对测试过程中出现的问题及时记录，测试完成后及时进行验收；</w:t>
      </w:r>
    </w:p>
    <w:p>
      <w:pPr>
        <w:pStyle w:val="65"/>
        <w:numPr>
          <w:ilvl w:val="0"/>
          <w:numId w:val="7"/>
        </w:numPr>
        <w:ind w:firstLineChars="0"/>
        <w:jc w:val="left"/>
        <w:rPr>
          <w:rFonts w:ascii="宋体" w:hAnsi="宋体"/>
          <w:sz w:val="21"/>
          <w:szCs w:val="21"/>
        </w:rPr>
      </w:pPr>
      <w:r>
        <w:rPr>
          <w:rFonts w:hint="eastAsia" w:ascii="宋体" w:hAnsi="宋体"/>
          <w:sz w:val="21"/>
          <w:szCs w:val="21"/>
        </w:rPr>
        <w:t>编写环境测试实施报告。</w:t>
      </w:r>
    </w:p>
    <w:p>
      <w:pPr>
        <w:pStyle w:val="3"/>
      </w:pPr>
      <w:bookmarkStart w:id="9" w:name="_Toc9642"/>
      <w:r>
        <w:rPr>
          <w:rFonts w:hint="eastAsia"/>
        </w:rPr>
        <w:t>生产环境部署规划</w:t>
      </w:r>
      <w:bookmarkEnd w:id="9"/>
    </w:p>
    <w:p>
      <w:pPr>
        <w:pStyle w:val="65"/>
        <w:numPr>
          <w:ilvl w:val="0"/>
          <w:numId w:val="7"/>
        </w:numPr>
        <w:ind w:firstLineChars="0"/>
        <w:jc w:val="left"/>
        <w:rPr>
          <w:rFonts w:ascii="宋体" w:hAnsi="宋体"/>
          <w:sz w:val="21"/>
          <w:szCs w:val="21"/>
        </w:rPr>
      </w:pPr>
      <w:r>
        <w:rPr>
          <w:rFonts w:hint="eastAsia" w:ascii="宋体" w:hAnsi="宋体"/>
          <w:sz w:val="21"/>
          <w:szCs w:val="21"/>
        </w:rPr>
        <w:t>与用户沟通其使用场景及具体业务需求；</w:t>
      </w:r>
    </w:p>
    <w:p>
      <w:pPr>
        <w:pStyle w:val="65"/>
        <w:numPr>
          <w:ilvl w:val="0"/>
          <w:numId w:val="7"/>
        </w:numPr>
        <w:ind w:firstLineChars="0"/>
        <w:jc w:val="left"/>
        <w:rPr>
          <w:rFonts w:ascii="宋体" w:hAnsi="宋体"/>
          <w:sz w:val="21"/>
          <w:szCs w:val="21"/>
        </w:rPr>
      </w:pPr>
      <w:r>
        <w:rPr>
          <w:rFonts w:hint="eastAsia" w:ascii="宋体" w:hAnsi="宋体"/>
          <w:sz w:val="21"/>
          <w:szCs w:val="21"/>
        </w:rPr>
        <w:t>现场确定设备上架的机柜位置、机架位置，并进行记录；</w:t>
      </w:r>
    </w:p>
    <w:p>
      <w:pPr>
        <w:pStyle w:val="65"/>
        <w:numPr>
          <w:ilvl w:val="0"/>
          <w:numId w:val="7"/>
        </w:numPr>
        <w:ind w:firstLineChars="0"/>
        <w:jc w:val="left"/>
        <w:rPr>
          <w:rFonts w:ascii="宋体" w:hAnsi="宋体"/>
          <w:sz w:val="21"/>
          <w:szCs w:val="21"/>
        </w:rPr>
      </w:pPr>
      <w:r>
        <w:rPr>
          <w:rFonts w:hint="eastAsia" w:ascii="宋体" w:hAnsi="宋体"/>
          <w:sz w:val="21"/>
          <w:szCs w:val="21"/>
        </w:rPr>
        <w:t>设备上架并对设备进行通电测试，观察设备供电是否正常，具备双电接口的设备只通单电时是否会有蜂鸣器告警；</w:t>
      </w:r>
    </w:p>
    <w:p>
      <w:pPr>
        <w:pStyle w:val="65"/>
        <w:numPr>
          <w:ilvl w:val="0"/>
          <w:numId w:val="7"/>
        </w:numPr>
        <w:ind w:firstLineChars="0"/>
        <w:jc w:val="left"/>
        <w:rPr>
          <w:rFonts w:ascii="宋体" w:hAnsi="宋体"/>
          <w:sz w:val="21"/>
          <w:szCs w:val="21"/>
        </w:rPr>
      </w:pPr>
      <w:r>
        <w:rPr>
          <w:rFonts w:hint="eastAsia" w:ascii="宋体" w:hAnsi="宋体"/>
          <w:sz w:val="21"/>
          <w:szCs w:val="21"/>
        </w:rPr>
        <w:t>在客户已知并同意的前提下将设备接入生产环境网络，并在网线上贴好标签记录设备连接的对端位置，设备接入时需要注意以下几点：</w:t>
      </w:r>
    </w:p>
    <w:p>
      <w:pPr>
        <w:pStyle w:val="65"/>
        <w:numPr>
          <w:ilvl w:val="1"/>
          <w:numId w:val="7"/>
        </w:numPr>
        <w:ind w:firstLineChars="0"/>
        <w:jc w:val="left"/>
        <w:rPr>
          <w:rFonts w:ascii="宋体" w:hAnsi="宋体"/>
          <w:sz w:val="21"/>
          <w:szCs w:val="21"/>
        </w:rPr>
      </w:pPr>
      <w:r>
        <w:rPr>
          <w:rFonts w:hint="eastAsia" w:ascii="宋体" w:hAnsi="宋体"/>
          <w:sz w:val="21"/>
          <w:szCs w:val="21"/>
        </w:rPr>
        <w:t>若客户生产环境是全新网络环境，按照部署标准进行正常部署；</w:t>
      </w:r>
    </w:p>
    <w:p>
      <w:pPr>
        <w:pStyle w:val="65"/>
        <w:numPr>
          <w:ilvl w:val="1"/>
          <w:numId w:val="7"/>
        </w:numPr>
        <w:ind w:firstLineChars="0"/>
        <w:jc w:val="left"/>
        <w:rPr>
          <w:rFonts w:ascii="宋体" w:hAnsi="宋体"/>
          <w:sz w:val="21"/>
          <w:szCs w:val="21"/>
        </w:rPr>
      </w:pPr>
      <w:r>
        <w:rPr>
          <w:rFonts w:hint="eastAsia" w:ascii="宋体" w:hAnsi="宋体"/>
          <w:sz w:val="21"/>
          <w:szCs w:val="21"/>
        </w:rPr>
        <w:t>若客户生产环境正在运行，需要跟客户沟通好设备接入后的业务调整方案（如原业务访问的ip端口需更换网闸映射后的ip端口），确定切网时间（什么时间切换设备对实际生产环境业务影响最小），做好灾备；</w:t>
      </w:r>
    </w:p>
    <w:p>
      <w:pPr>
        <w:pStyle w:val="65"/>
        <w:numPr>
          <w:ilvl w:val="1"/>
          <w:numId w:val="7"/>
        </w:numPr>
        <w:ind w:firstLineChars="0"/>
        <w:jc w:val="left"/>
        <w:rPr>
          <w:rFonts w:ascii="宋体" w:hAnsi="宋体"/>
          <w:sz w:val="21"/>
          <w:szCs w:val="21"/>
        </w:rPr>
      </w:pPr>
      <w:r>
        <w:rPr>
          <w:rFonts w:hint="eastAsia" w:ascii="宋体" w:hAnsi="宋体"/>
          <w:sz w:val="21"/>
          <w:szCs w:val="21"/>
        </w:rPr>
        <w:t>若客户生产环境之前存在同类设备，本次部署为新老设备替换，此时需要先对原设备业务进行整理备份，并在2的基础上确认设备两边的网络设备是否绑定了原设备mac地址，若绑定了原设备mac会导致业务不通。</w:t>
      </w:r>
    </w:p>
    <w:p>
      <w:pPr>
        <w:pStyle w:val="65"/>
        <w:numPr>
          <w:ilvl w:val="0"/>
          <w:numId w:val="7"/>
        </w:numPr>
        <w:ind w:firstLineChars="0"/>
        <w:jc w:val="left"/>
        <w:rPr>
          <w:rFonts w:ascii="宋体" w:hAnsi="宋体"/>
          <w:sz w:val="21"/>
          <w:szCs w:val="21"/>
        </w:rPr>
      </w:pPr>
      <w:r>
        <w:rPr>
          <w:rFonts w:hint="eastAsia" w:ascii="宋体" w:hAnsi="宋体"/>
          <w:sz w:val="21"/>
          <w:szCs w:val="21"/>
        </w:rPr>
        <w:t>根据客户所提供的ip、掩码、网关等信息对设备业务口进行网络配置，并测试网络连通性；</w:t>
      </w:r>
    </w:p>
    <w:p>
      <w:pPr>
        <w:pStyle w:val="65"/>
        <w:numPr>
          <w:ilvl w:val="0"/>
          <w:numId w:val="7"/>
        </w:numPr>
        <w:ind w:firstLineChars="0"/>
        <w:jc w:val="left"/>
        <w:rPr>
          <w:rFonts w:ascii="宋体" w:hAnsi="宋体"/>
          <w:sz w:val="21"/>
          <w:szCs w:val="21"/>
        </w:rPr>
      </w:pPr>
      <w:r>
        <w:rPr>
          <w:rFonts w:hint="eastAsia" w:ascii="宋体" w:hAnsi="宋体"/>
          <w:sz w:val="21"/>
          <w:szCs w:val="21"/>
        </w:rPr>
        <w:t>根据客户实际需求对设备进行业务配置，配置时需要注意以下几点：</w:t>
      </w:r>
    </w:p>
    <w:p>
      <w:pPr>
        <w:pStyle w:val="65"/>
        <w:numPr>
          <w:ilvl w:val="1"/>
          <w:numId w:val="7"/>
        </w:numPr>
        <w:ind w:firstLineChars="0"/>
        <w:jc w:val="left"/>
        <w:rPr>
          <w:rFonts w:ascii="宋体" w:hAnsi="宋体"/>
          <w:sz w:val="21"/>
          <w:szCs w:val="21"/>
        </w:rPr>
      </w:pPr>
      <w:r>
        <w:rPr>
          <w:rFonts w:hint="eastAsia" w:ascii="宋体" w:hAnsi="宋体"/>
          <w:sz w:val="21"/>
          <w:szCs w:val="21"/>
        </w:rPr>
        <w:t>尽量使用客户运维电脑对设备进行业务配置；</w:t>
      </w:r>
    </w:p>
    <w:p>
      <w:pPr>
        <w:pStyle w:val="65"/>
        <w:numPr>
          <w:ilvl w:val="1"/>
          <w:numId w:val="7"/>
        </w:numPr>
        <w:ind w:firstLineChars="0"/>
        <w:jc w:val="left"/>
        <w:rPr>
          <w:rFonts w:ascii="宋体" w:hAnsi="宋体"/>
          <w:sz w:val="21"/>
          <w:szCs w:val="21"/>
        </w:rPr>
      </w:pPr>
      <w:r>
        <w:rPr>
          <w:rFonts w:hint="eastAsia" w:ascii="宋体" w:hAnsi="宋体"/>
          <w:sz w:val="21"/>
          <w:szCs w:val="21"/>
        </w:rPr>
        <w:t>需要使用自身笔记本对设备进行业务配置时，证笔记本不连接外网环境；</w:t>
      </w:r>
    </w:p>
    <w:p>
      <w:pPr>
        <w:pStyle w:val="65"/>
        <w:numPr>
          <w:ilvl w:val="1"/>
          <w:numId w:val="7"/>
        </w:numPr>
        <w:ind w:firstLineChars="0"/>
        <w:jc w:val="left"/>
        <w:rPr>
          <w:rFonts w:ascii="宋体" w:hAnsi="宋体"/>
          <w:sz w:val="21"/>
          <w:szCs w:val="21"/>
        </w:rPr>
      </w:pPr>
      <w:r>
        <w:rPr>
          <w:rFonts w:hint="eastAsia" w:ascii="宋体" w:hAnsi="宋体"/>
          <w:sz w:val="21"/>
          <w:szCs w:val="21"/>
        </w:rPr>
        <w:t>针对数据库同步业务，不要通过私自的dba管理工具登录用户数据库服务器中，如需查询、验证数据等信息需联系客户查看；</w:t>
      </w:r>
    </w:p>
    <w:p>
      <w:pPr>
        <w:pStyle w:val="65"/>
        <w:numPr>
          <w:ilvl w:val="1"/>
          <w:numId w:val="7"/>
        </w:numPr>
        <w:ind w:firstLineChars="0"/>
        <w:jc w:val="left"/>
        <w:rPr>
          <w:rFonts w:ascii="宋体" w:hAnsi="宋体"/>
          <w:sz w:val="21"/>
          <w:szCs w:val="21"/>
        </w:rPr>
      </w:pPr>
      <w:r>
        <w:rPr>
          <w:rFonts w:hint="eastAsia" w:ascii="宋体" w:hAnsi="宋体"/>
          <w:sz w:val="21"/>
          <w:szCs w:val="21"/>
        </w:rPr>
        <w:t>业务配置策略的存留需询问客户意见，尽量只留在客户运维电脑上，不要带出或在网络中进行传播；</w:t>
      </w:r>
    </w:p>
    <w:p>
      <w:pPr>
        <w:pStyle w:val="65"/>
        <w:numPr>
          <w:ilvl w:val="1"/>
          <w:numId w:val="7"/>
        </w:numPr>
        <w:ind w:firstLineChars="0"/>
        <w:jc w:val="left"/>
        <w:rPr>
          <w:rFonts w:ascii="宋体" w:hAnsi="宋体"/>
          <w:sz w:val="21"/>
          <w:szCs w:val="21"/>
        </w:rPr>
      </w:pPr>
      <w:r>
        <w:rPr>
          <w:rFonts w:hint="eastAsia" w:ascii="宋体" w:hAnsi="宋体"/>
          <w:sz w:val="21"/>
          <w:szCs w:val="21"/>
        </w:rPr>
        <w:t>不要使用移动设备在机房中拍照、录像。</w:t>
      </w:r>
    </w:p>
    <w:p>
      <w:pPr>
        <w:pStyle w:val="65"/>
        <w:numPr>
          <w:ilvl w:val="0"/>
          <w:numId w:val="7"/>
        </w:numPr>
        <w:ind w:firstLineChars="0"/>
        <w:jc w:val="left"/>
        <w:rPr>
          <w:rFonts w:ascii="宋体" w:hAnsi="宋体"/>
          <w:sz w:val="21"/>
          <w:szCs w:val="21"/>
        </w:rPr>
      </w:pPr>
      <w:r>
        <w:rPr>
          <w:rFonts w:hint="eastAsia" w:ascii="宋体" w:hAnsi="宋体"/>
          <w:sz w:val="21"/>
          <w:szCs w:val="21"/>
        </w:rPr>
        <w:t>对部署过程中出现的问题及时解决，并编写实施报告。</w:t>
      </w:r>
    </w:p>
    <w:p>
      <w:pPr>
        <w:widowControl/>
        <w:spacing w:line="240" w:lineRule="auto"/>
        <w:ind w:firstLine="0"/>
        <w:jc w:val="left"/>
        <w:rPr>
          <w:i/>
          <w:color w:val="7F7F7F" w:themeColor="background1" w:themeShade="80"/>
        </w:rPr>
      </w:pPr>
      <w:r>
        <w:br w:type="page"/>
      </w:r>
    </w:p>
    <w:p>
      <w:pPr>
        <w:pStyle w:val="2"/>
      </w:pPr>
      <w:bookmarkStart w:id="10" w:name="_Toc27404"/>
      <w:r>
        <w:rPr>
          <w:rFonts w:hint="eastAsia"/>
        </w:rPr>
        <w:t>安装前准备</w:t>
      </w:r>
      <w:bookmarkEnd w:id="10"/>
    </w:p>
    <w:p>
      <w:pPr>
        <w:pStyle w:val="3"/>
      </w:pPr>
      <w:bookmarkStart w:id="11" w:name="_Toc20340"/>
      <w:r>
        <w:rPr>
          <w:rFonts w:hint="eastAsia"/>
        </w:rPr>
        <w:t>硬件准备</w:t>
      </w:r>
      <w:bookmarkEnd w:id="11"/>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8"/>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shd w:val="clear" w:color="auto" w:fill="538135" w:themeFill="accent6" w:themeFillShade="BF"/>
          </w:tcPr>
          <w:p>
            <w:pPr>
              <w:pStyle w:val="29"/>
            </w:pPr>
            <w:r>
              <w:rPr>
                <w:rFonts w:hint="eastAsia"/>
              </w:rPr>
              <w:t>序号</w:t>
            </w:r>
          </w:p>
        </w:tc>
        <w:tc>
          <w:tcPr>
            <w:tcW w:w="4132" w:type="dxa"/>
            <w:shd w:val="clear" w:color="auto" w:fill="538135" w:themeFill="accent6" w:themeFillShade="BF"/>
          </w:tcPr>
          <w:p>
            <w:pPr>
              <w:pStyle w:val="29"/>
            </w:pPr>
            <w:r>
              <w:rPr>
                <w:rFonts w:hint="eastAsia"/>
              </w:rPr>
              <w:t>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1</w:t>
            </w:r>
          </w:p>
        </w:tc>
        <w:tc>
          <w:tcPr>
            <w:tcW w:w="4132" w:type="dxa"/>
          </w:tcPr>
          <w:p>
            <w:pPr>
              <w:pStyle w:val="30"/>
              <w:jc w:val="center"/>
              <w:rPr>
                <w:sz w:val="24"/>
              </w:rPr>
            </w:pPr>
            <w:r>
              <w:rPr>
                <w:rFonts w:hint="eastAsia"/>
                <w:sz w:val="24"/>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2</w:t>
            </w:r>
          </w:p>
        </w:tc>
        <w:tc>
          <w:tcPr>
            <w:tcW w:w="4132" w:type="dxa"/>
          </w:tcPr>
          <w:p>
            <w:pPr>
              <w:pStyle w:val="30"/>
              <w:jc w:val="center"/>
              <w:rPr>
                <w:sz w:val="24"/>
              </w:rPr>
            </w:pPr>
            <w:r>
              <w:rPr>
                <w:rFonts w:hint="eastAsia"/>
                <w:sz w:val="24"/>
              </w:rPr>
              <w:t>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3</w:t>
            </w:r>
          </w:p>
        </w:tc>
        <w:tc>
          <w:tcPr>
            <w:tcW w:w="4132" w:type="dxa"/>
          </w:tcPr>
          <w:p>
            <w:pPr>
              <w:pStyle w:val="30"/>
              <w:jc w:val="center"/>
              <w:rPr>
                <w:sz w:val="24"/>
              </w:rPr>
            </w:pPr>
            <w:r>
              <w:rPr>
                <w:rFonts w:hint="eastAsia"/>
                <w:sz w:val="24"/>
              </w:rPr>
              <w:t>笔记本电脑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4</w:t>
            </w:r>
          </w:p>
        </w:tc>
        <w:tc>
          <w:tcPr>
            <w:tcW w:w="4132" w:type="dxa"/>
          </w:tcPr>
          <w:p>
            <w:pPr>
              <w:pStyle w:val="30"/>
              <w:jc w:val="center"/>
              <w:rPr>
                <w:sz w:val="24"/>
              </w:rPr>
            </w:pPr>
            <w:r>
              <w:rPr>
                <w:rFonts w:hint="eastAsia"/>
                <w:sz w:val="24"/>
              </w:rPr>
              <w:t>console线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5</w:t>
            </w:r>
          </w:p>
        </w:tc>
        <w:tc>
          <w:tcPr>
            <w:tcW w:w="4132" w:type="dxa"/>
          </w:tcPr>
          <w:p>
            <w:pPr>
              <w:pStyle w:val="30"/>
              <w:jc w:val="center"/>
              <w:rPr>
                <w:sz w:val="24"/>
              </w:rPr>
            </w:pPr>
            <w:r>
              <w:rPr>
                <w:rFonts w:hint="eastAsia"/>
                <w:sz w:val="24"/>
              </w:rPr>
              <w:t>螺丝刀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6</w:t>
            </w:r>
          </w:p>
        </w:tc>
        <w:tc>
          <w:tcPr>
            <w:tcW w:w="4132" w:type="dxa"/>
          </w:tcPr>
          <w:p>
            <w:pPr>
              <w:pStyle w:val="30"/>
              <w:jc w:val="center"/>
              <w:rPr>
                <w:sz w:val="24"/>
              </w:rPr>
            </w:pPr>
            <w:r>
              <w:rPr>
                <w:rFonts w:hint="eastAsia"/>
                <w:sz w:val="24"/>
              </w:rPr>
              <w:t>网线</w:t>
            </w:r>
          </w:p>
        </w:tc>
      </w:tr>
    </w:tbl>
    <w:p>
      <w:pPr>
        <w:pStyle w:val="3"/>
      </w:pPr>
      <w:bookmarkStart w:id="12" w:name="_Toc6147"/>
      <w:r>
        <w:rPr>
          <w:rFonts w:hint="eastAsia"/>
        </w:rPr>
        <w:t>软件准备</w:t>
      </w:r>
      <w:bookmarkEnd w:id="12"/>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0"/>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shd w:val="clear" w:color="auto" w:fill="538135" w:themeFill="accent6" w:themeFillShade="BF"/>
          </w:tcPr>
          <w:p>
            <w:pPr>
              <w:pStyle w:val="29"/>
            </w:pPr>
            <w:r>
              <w:rPr>
                <w:rFonts w:hint="eastAsia"/>
              </w:rPr>
              <w:t>序号</w:t>
            </w:r>
          </w:p>
        </w:tc>
        <w:tc>
          <w:tcPr>
            <w:tcW w:w="4132" w:type="dxa"/>
            <w:shd w:val="clear" w:color="auto" w:fill="538135" w:themeFill="accent6" w:themeFillShade="BF"/>
          </w:tcPr>
          <w:p>
            <w:pPr>
              <w:pStyle w:val="29"/>
            </w:pPr>
            <w:r>
              <w:rPr>
                <w:rFonts w:hint="eastAsia"/>
              </w:rPr>
              <w:t>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1</w:t>
            </w:r>
          </w:p>
        </w:tc>
        <w:tc>
          <w:tcPr>
            <w:tcW w:w="4132" w:type="dxa"/>
          </w:tcPr>
          <w:p>
            <w:pPr>
              <w:pStyle w:val="30"/>
              <w:jc w:val="center"/>
              <w:rPr>
                <w:sz w:val="24"/>
              </w:rPr>
            </w:pPr>
            <w:r>
              <w:rPr>
                <w:rFonts w:hint="eastAsia"/>
                <w:sz w:val="24"/>
              </w:rPr>
              <w:t>initor-1.0.3.xxxxx-1.el7.centos.x86_64.rpm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2</w:t>
            </w:r>
          </w:p>
        </w:tc>
        <w:tc>
          <w:tcPr>
            <w:tcW w:w="4132" w:type="dxa"/>
          </w:tcPr>
          <w:p>
            <w:pPr>
              <w:pStyle w:val="30"/>
              <w:jc w:val="center"/>
              <w:rPr>
                <w:sz w:val="24"/>
              </w:rPr>
            </w:pPr>
            <w:r>
              <w:rPr>
                <w:rFonts w:hint="eastAsia"/>
                <w:sz w:val="24"/>
              </w:rPr>
              <w:t>topgap-1.0.3.xxxxx-1.el7.centos.x86_64.rpm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tcPr>
          <w:p>
            <w:pPr>
              <w:pStyle w:val="30"/>
              <w:jc w:val="center"/>
              <w:rPr>
                <w:sz w:val="24"/>
              </w:rPr>
            </w:pPr>
            <w:r>
              <w:rPr>
                <w:rFonts w:hint="eastAsia"/>
                <w:sz w:val="24"/>
              </w:rPr>
              <w:t>3</w:t>
            </w:r>
          </w:p>
        </w:tc>
        <w:tc>
          <w:tcPr>
            <w:tcW w:w="4132" w:type="dxa"/>
          </w:tcPr>
          <w:p>
            <w:pPr>
              <w:pStyle w:val="30"/>
              <w:jc w:val="center"/>
              <w:rPr>
                <w:sz w:val="24"/>
              </w:rPr>
            </w:pPr>
            <w:r>
              <w:rPr>
                <w:rFonts w:hint="eastAsia"/>
                <w:sz w:val="24"/>
              </w:rPr>
              <w:t>dataway_x-2.0.2.3.xxxxx-1.el7.x86_64.rpm</w:t>
            </w:r>
          </w:p>
        </w:tc>
      </w:tr>
    </w:tbl>
    <w:p>
      <w:pPr>
        <w:pStyle w:val="42"/>
        <w:numPr>
          <w:ilvl w:val="0"/>
          <w:numId w:val="0"/>
        </w:numPr>
      </w:pPr>
      <w:r>
        <w:rPr>
          <w:rFonts w:hint="eastAsia"/>
        </w:rPr>
        <w:t>注：设备出厂前已预装软件包。</w:t>
      </w:r>
    </w:p>
    <w:p>
      <w:pPr>
        <w:pStyle w:val="3"/>
      </w:pPr>
      <w:bookmarkStart w:id="13" w:name="_Toc25268"/>
      <w:r>
        <w:rPr>
          <w:rFonts w:hint="eastAsia"/>
        </w:rPr>
        <w:t>环境准备</w:t>
      </w:r>
      <w:bookmarkEnd w:id="1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1"/>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1" w:type="dxa"/>
            <w:shd w:val="clear" w:color="auto" w:fill="538135" w:themeFill="accent6" w:themeFillShade="BF"/>
          </w:tcPr>
          <w:p>
            <w:pPr>
              <w:pStyle w:val="42"/>
              <w:numPr>
                <w:ilvl w:val="0"/>
                <w:numId w:val="0"/>
              </w:numPr>
              <w:jc w:val="center"/>
            </w:pPr>
            <w:r>
              <w:rPr>
                <w:rFonts w:hint="eastAsia"/>
                <w:b/>
                <w:bCs/>
                <w:color w:val="FFFFFF" w:themeColor="background1"/>
                <w14:textFill>
                  <w14:solidFill>
                    <w14:schemeClr w14:val="bg1"/>
                  </w14:solidFill>
                </w14:textFill>
              </w:rPr>
              <w:t>物理环境</w:t>
            </w:r>
          </w:p>
        </w:tc>
        <w:tc>
          <w:tcPr>
            <w:tcW w:w="4341" w:type="dxa"/>
            <w:shd w:val="clear" w:color="auto" w:fill="538135" w:themeFill="accent6" w:themeFillShade="BF"/>
          </w:tcPr>
          <w:p>
            <w:pPr>
              <w:pStyle w:val="42"/>
              <w:numPr>
                <w:ilvl w:val="0"/>
                <w:numId w:val="0"/>
              </w:numPr>
              <w:jc w:val="center"/>
            </w:pPr>
            <w:r>
              <w:rPr>
                <w:rFonts w:hint="eastAsia"/>
                <w:b/>
                <w:bCs/>
                <w:color w:val="FFFFFF" w:themeColor="background1"/>
                <w14:textFill>
                  <w14:solidFill>
                    <w14:schemeClr w14:val="bg1"/>
                  </w14:solidFill>
                </w14:textFill>
              </w:rPr>
              <w:t>网络环境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1" w:type="dxa"/>
          </w:tcPr>
          <w:p>
            <w:pPr>
              <w:pStyle w:val="42"/>
              <w:numPr>
                <w:ilvl w:val="0"/>
                <w:numId w:val="0"/>
              </w:numPr>
              <w:jc w:val="center"/>
            </w:pPr>
            <w:r>
              <w:rPr>
                <w:rFonts w:hint="eastAsia"/>
              </w:rPr>
              <w:t>确定机架位置，保证温度湿度，注意防尘防静电。</w:t>
            </w:r>
          </w:p>
        </w:tc>
        <w:tc>
          <w:tcPr>
            <w:tcW w:w="4341" w:type="dxa"/>
          </w:tcPr>
          <w:p>
            <w:pPr>
              <w:pStyle w:val="42"/>
              <w:numPr>
                <w:ilvl w:val="0"/>
                <w:numId w:val="0"/>
              </w:numPr>
              <w:jc w:val="center"/>
            </w:pPr>
            <w:r>
              <w:rPr>
                <w:rFonts w:hint="eastAsia"/>
              </w:rPr>
              <w:t>搭好网络链路，确保网络通畅。</w:t>
            </w:r>
          </w:p>
        </w:tc>
      </w:tr>
    </w:tbl>
    <w:p>
      <w:pPr>
        <w:pStyle w:val="42"/>
        <w:numPr>
          <w:ilvl w:val="0"/>
          <w:numId w:val="0"/>
        </w:numPr>
      </w:pPr>
    </w:p>
    <w:p>
      <w:pPr>
        <w:pStyle w:val="42"/>
        <w:numPr>
          <w:ilvl w:val="0"/>
          <w:numId w:val="0"/>
        </w:numPr>
        <w:ind w:left="780"/>
      </w:pPr>
    </w:p>
    <w:p>
      <w:pPr>
        <w:widowControl/>
        <w:spacing w:line="240" w:lineRule="auto"/>
        <w:ind w:firstLine="0"/>
        <w:jc w:val="left"/>
        <w:rPr>
          <w:b/>
          <w:bCs/>
          <w:kern w:val="44"/>
          <w:sz w:val="44"/>
          <w:szCs w:val="44"/>
        </w:rPr>
      </w:pPr>
      <w:r>
        <w:br w:type="page"/>
      </w:r>
    </w:p>
    <w:p>
      <w:pPr>
        <w:pStyle w:val="2"/>
      </w:pPr>
      <w:bookmarkStart w:id="14" w:name="_Toc17523"/>
      <w:r>
        <w:rPr>
          <w:rFonts w:hint="eastAsia"/>
        </w:rPr>
        <w:t>可用性检查</w:t>
      </w:r>
      <w:bookmarkEnd w:id="14"/>
    </w:p>
    <w:p>
      <w:pPr>
        <w:pStyle w:val="3"/>
      </w:pPr>
      <w:bookmarkStart w:id="15" w:name="_Toc3309"/>
      <w:r>
        <w:rPr>
          <w:rFonts w:hint="eastAsia"/>
        </w:rPr>
        <w:t>硬件检查</w:t>
      </w:r>
      <w:bookmarkEnd w:id="15"/>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3"/>
        <w:gridCol w:w="2599"/>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shd w:val="clear" w:color="auto" w:fill="538135" w:themeFill="accent6" w:themeFillShade="BF"/>
          </w:tcPr>
          <w:p>
            <w:pPr>
              <w:pStyle w:val="29"/>
            </w:pPr>
            <w:r>
              <w:rPr>
                <w:rFonts w:hint="eastAsia"/>
              </w:rPr>
              <w:t>检查项</w:t>
            </w:r>
          </w:p>
        </w:tc>
        <w:tc>
          <w:tcPr>
            <w:tcW w:w="2599" w:type="dxa"/>
            <w:shd w:val="clear" w:color="auto" w:fill="538135" w:themeFill="accent6" w:themeFillShade="BF"/>
          </w:tcPr>
          <w:p>
            <w:pPr>
              <w:pStyle w:val="29"/>
            </w:pPr>
            <w:r>
              <w:rPr>
                <w:rFonts w:hint="eastAsia"/>
              </w:rPr>
              <w:t>检查步骤</w:t>
            </w:r>
          </w:p>
        </w:tc>
        <w:tc>
          <w:tcPr>
            <w:tcW w:w="2844" w:type="dxa"/>
            <w:shd w:val="clear" w:color="auto" w:fill="538135" w:themeFill="accent6" w:themeFillShade="BF"/>
          </w:tcPr>
          <w:p>
            <w:pPr>
              <w:pStyle w:val="29"/>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机柜</w:t>
            </w:r>
          </w:p>
        </w:tc>
        <w:tc>
          <w:tcPr>
            <w:tcW w:w="2599" w:type="dxa"/>
          </w:tcPr>
          <w:p>
            <w:pPr>
              <w:pStyle w:val="30"/>
            </w:pPr>
            <w:r>
              <w:rPr>
                <w:rFonts w:hint="eastAsia"/>
              </w:rPr>
              <w:t>查看空间是否满足</w:t>
            </w:r>
          </w:p>
        </w:tc>
        <w:tc>
          <w:tcPr>
            <w:tcW w:w="2844" w:type="dxa"/>
          </w:tcPr>
          <w:p>
            <w:pPr>
              <w:pStyle w:val="30"/>
            </w:pPr>
            <w:r>
              <w:rPr>
                <w:rFonts w:hint="eastAsi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设备</w:t>
            </w:r>
          </w:p>
        </w:tc>
        <w:tc>
          <w:tcPr>
            <w:tcW w:w="2599" w:type="dxa"/>
          </w:tcPr>
          <w:p>
            <w:pPr>
              <w:pStyle w:val="30"/>
              <w:numPr>
                <w:ilvl w:val="0"/>
                <w:numId w:val="8"/>
              </w:numPr>
            </w:pPr>
            <w:r>
              <w:rPr>
                <w:rFonts w:hint="eastAsia"/>
              </w:rPr>
              <w:t>硬件是否有磕碰</w:t>
            </w:r>
          </w:p>
          <w:p>
            <w:pPr>
              <w:pStyle w:val="30"/>
              <w:numPr>
                <w:ilvl w:val="0"/>
                <w:numId w:val="8"/>
              </w:numPr>
            </w:pPr>
            <w:r>
              <w:rPr>
                <w:rFonts w:hint="eastAsia"/>
              </w:rPr>
              <w:t>标签是否完整</w:t>
            </w:r>
          </w:p>
        </w:tc>
        <w:tc>
          <w:tcPr>
            <w:tcW w:w="2844" w:type="dxa"/>
          </w:tcPr>
          <w:p>
            <w:pPr>
              <w:pStyle w:val="30"/>
            </w:pPr>
            <w:r>
              <w:rPr>
                <w:rFonts w:hint="eastAsia"/>
              </w:rPr>
              <w:t>正常</w:t>
            </w:r>
          </w:p>
        </w:tc>
      </w:tr>
    </w:tbl>
    <w:p>
      <w:pPr>
        <w:pStyle w:val="3"/>
      </w:pPr>
      <w:bookmarkStart w:id="16" w:name="_Toc4298"/>
      <w:r>
        <w:rPr>
          <w:rFonts w:hint="eastAsia"/>
        </w:rPr>
        <w:t>软件检查</w:t>
      </w:r>
      <w:bookmarkEnd w:id="16"/>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3"/>
        <w:gridCol w:w="2599"/>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shd w:val="clear" w:color="auto" w:fill="538135" w:themeFill="accent6" w:themeFillShade="BF"/>
          </w:tcPr>
          <w:p>
            <w:pPr>
              <w:pStyle w:val="29"/>
            </w:pPr>
            <w:r>
              <w:rPr>
                <w:rFonts w:hint="eastAsia"/>
              </w:rPr>
              <w:t>检查项</w:t>
            </w:r>
          </w:p>
        </w:tc>
        <w:tc>
          <w:tcPr>
            <w:tcW w:w="2599" w:type="dxa"/>
            <w:shd w:val="clear" w:color="auto" w:fill="538135" w:themeFill="accent6" w:themeFillShade="BF"/>
          </w:tcPr>
          <w:p>
            <w:pPr>
              <w:pStyle w:val="29"/>
            </w:pPr>
            <w:r>
              <w:rPr>
                <w:rFonts w:hint="eastAsia"/>
              </w:rPr>
              <w:t>检查步骤</w:t>
            </w:r>
          </w:p>
        </w:tc>
        <w:tc>
          <w:tcPr>
            <w:tcW w:w="2844" w:type="dxa"/>
            <w:shd w:val="clear" w:color="auto" w:fill="538135" w:themeFill="accent6" w:themeFillShade="BF"/>
          </w:tcPr>
          <w:p>
            <w:pPr>
              <w:pStyle w:val="29"/>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软件安装包</w:t>
            </w:r>
          </w:p>
        </w:tc>
        <w:tc>
          <w:tcPr>
            <w:tcW w:w="2599" w:type="dxa"/>
          </w:tcPr>
          <w:p>
            <w:pPr>
              <w:pStyle w:val="30"/>
            </w:pPr>
            <w:r>
              <w:rPr>
                <w:rFonts w:hint="eastAsia"/>
              </w:rPr>
              <w:t>1</w:t>
            </w:r>
            <w:r>
              <w:t xml:space="preserve">. </w:t>
            </w:r>
            <w:r>
              <w:rPr>
                <w:rFonts w:hint="eastAsia"/>
              </w:rPr>
              <w:t>笔记本通过ssh连接设备进入后台</w:t>
            </w:r>
          </w:p>
          <w:p>
            <w:pPr>
              <w:pStyle w:val="30"/>
            </w:pPr>
            <w:r>
              <w:rPr>
                <w:rFonts w:hint="eastAsia"/>
              </w:rPr>
              <w:t>2</w:t>
            </w:r>
            <w:r>
              <w:t xml:space="preserve">. </w:t>
            </w:r>
            <w:r>
              <w:rPr>
                <w:rFonts w:hint="eastAsia"/>
              </w:rPr>
              <w:t>rpm</w:t>
            </w:r>
            <w:r>
              <w:t xml:space="preserve"> -</w:t>
            </w:r>
            <w:r>
              <w:rPr>
                <w:rFonts w:hint="eastAsia"/>
              </w:rPr>
              <w:t>qa</w:t>
            </w:r>
            <w:r>
              <w:t xml:space="preserve"> </w:t>
            </w:r>
            <w:r>
              <w:rPr>
                <w:rFonts w:hint="eastAsia"/>
              </w:rPr>
              <w:t>initor</w:t>
            </w:r>
            <w:r>
              <w:t xml:space="preserve">* </w:t>
            </w:r>
            <w:r>
              <w:rPr>
                <w:rFonts w:hint="eastAsia"/>
              </w:rPr>
              <w:t>查看initor版本号是否正确</w:t>
            </w:r>
          </w:p>
          <w:p>
            <w:pPr>
              <w:pStyle w:val="30"/>
            </w:pPr>
            <w:r>
              <w:rPr>
                <w:rFonts w:hint="eastAsia"/>
              </w:rPr>
              <w:t>3</w:t>
            </w:r>
            <w:r>
              <w:t xml:space="preserve">. </w:t>
            </w:r>
            <w:r>
              <w:rPr>
                <w:rFonts w:hint="eastAsia"/>
              </w:rPr>
              <w:t>rpm</w:t>
            </w:r>
            <w:r>
              <w:t xml:space="preserve"> -</w:t>
            </w:r>
            <w:r>
              <w:rPr>
                <w:rFonts w:hint="eastAsia"/>
              </w:rPr>
              <w:t>qa</w:t>
            </w:r>
            <w:r>
              <w:t xml:space="preserve"> </w:t>
            </w:r>
            <w:r>
              <w:rPr>
                <w:rFonts w:hint="eastAsia"/>
              </w:rPr>
              <w:t>topgap</w:t>
            </w:r>
            <w:r>
              <w:t xml:space="preserve">* </w:t>
            </w:r>
            <w:r>
              <w:rPr>
                <w:rFonts w:hint="eastAsia"/>
              </w:rPr>
              <w:t>查看topgap版本号是否正确</w:t>
            </w:r>
          </w:p>
          <w:p>
            <w:pPr>
              <w:pStyle w:val="30"/>
            </w:pPr>
            <w:r>
              <w:rPr>
                <w:rFonts w:hint="eastAsia"/>
              </w:rPr>
              <w:t>4、rpm</w:t>
            </w:r>
            <w:r>
              <w:t xml:space="preserve"> -</w:t>
            </w:r>
            <w:r>
              <w:rPr>
                <w:rFonts w:hint="eastAsia"/>
              </w:rPr>
              <w:t>qa</w:t>
            </w:r>
            <w:r>
              <w:t xml:space="preserve"> </w:t>
            </w:r>
            <w:r>
              <w:rPr>
                <w:rFonts w:hint="eastAsia"/>
              </w:rPr>
              <w:t>dataway</w:t>
            </w:r>
            <w:r>
              <w:t xml:space="preserve">* </w:t>
            </w:r>
            <w:r>
              <w:rPr>
                <w:rFonts w:hint="eastAsia"/>
              </w:rPr>
              <w:t>查看dataway版本号是否正确</w:t>
            </w:r>
          </w:p>
        </w:tc>
        <w:tc>
          <w:tcPr>
            <w:tcW w:w="2844" w:type="dxa"/>
          </w:tcPr>
          <w:p>
            <w:pPr>
              <w:pStyle w:val="30"/>
              <w:jc w:val="both"/>
            </w:pPr>
            <w:r>
              <w:rPr>
                <w:rFonts w:hint="eastAsia"/>
              </w:rPr>
              <w:t>正常</w:t>
            </w:r>
          </w:p>
        </w:tc>
      </w:tr>
    </w:tbl>
    <w:p>
      <w:pPr>
        <w:pStyle w:val="3"/>
      </w:pPr>
      <w:bookmarkStart w:id="17" w:name="_Toc14849"/>
      <w:r>
        <w:rPr>
          <w:rFonts w:hint="eastAsia"/>
        </w:rPr>
        <w:t>环境检查</w:t>
      </w:r>
      <w:bookmarkEnd w:id="17"/>
    </w:p>
    <w:p>
      <w:pPr>
        <w:pStyle w:val="4"/>
      </w:pPr>
      <w:bookmarkStart w:id="18" w:name="_Toc31204"/>
      <w:r>
        <w:rPr>
          <w:rFonts w:hint="eastAsia"/>
        </w:rPr>
        <w:t>硬件环境检查</w:t>
      </w:r>
      <w:bookmarkEnd w:id="18"/>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3"/>
        <w:gridCol w:w="2599"/>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shd w:val="clear" w:color="auto" w:fill="538135" w:themeFill="accent6" w:themeFillShade="BF"/>
          </w:tcPr>
          <w:p>
            <w:pPr>
              <w:pStyle w:val="29"/>
            </w:pPr>
            <w:r>
              <w:rPr>
                <w:rFonts w:hint="eastAsia"/>
              </w:rPr>
              <w:t>检查项</w:t>
            </w:r>
          </w:p>
        </w:tc>
        <w:tc>
          <w:tcPr>
            <w:tcW w:w="2599" w:type="dxa"/>
            <w:shd w:val="clear" w:color="auto" w:fill="538135" w:themeFill="accent6" w:themeFillShade="BF"/>
          </w:tcPr>
          <w:p>
            <w:pPr>
              <w:pStyle w:val="29"/>
            </w:pPr>
            <w:r>
              <w:rPr>
                <w:rFonts w:hint="eastAsia"/>
              </w:rPr>
              <w:t>检查步骤</w:t>
            </w:r>
          </w:p>
        </w:tc>
        <w:tc>
          <w:tcPr>
            <w:tcW w:w="2844" w:type="dxa"/>
            <w:shd w:val="clear" w:color="auto" w:fill="538135" w:themeFill="accent6" w:themeFillShade="BF"/>
          </w:tcPr>
          <w:p>
            <w:pPr>
              <w:pStyle w:val="29"/>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操作系统</w:t>
            </w:r>
          </w:p>
        </w:tc>
        <w:tc>
          <w:tcPr>
            <w:tcW w:w="2599" w:type="dxa"/>
          </w:tcPr>
          <w:p>
            <w:pPr>
              <w:pStyle w:val="30"/>
            </w:pPr>
            <w:r>
              <w:rPr>
                <w:rFonts w:hint="eastAsia"/>
              </w:rPr>
              <w:t>1、笔记本通过ssh连接设备进入后台</w:t>
            </w:r>
          </w:p>
          <w:p>
            <w:pPr>
              <w:pStyle w:val="30"/>
            </w:pPr>
            <w:r>
              <w:t>2</w:t>
            </w:r>
            <w:r>
              <w:rPr>
                <w:rFonts w:hint="eastAsia"/>
              </w:rPr>
              <w:t>、uname</w:t>
            </w:r>
            <w:r>
              <w:t xml:space="preserve"> -</w:t>
            </w:r>
            <w:r>
              <w:rPr>
                <w:rFonts w:hint="eastAsia"/>
              </w:rPr>
              <w:t>a</w:t>
            </w:r>
            <w:r>
              <w:t xml:space="preserve"> </w:t>
            </w:r>
            <w:r>
              <w:rPr>
                <w:rFonts w:hint="eastAsia"/>
              </w:rPr>
              <w:t>查看操作系统版本号</w:t>
            </w:r>
          </w:p>
        </w:tc>
        <w:tc>
          <w:tcPr>
            <w:tcW w:w="2844" w:type="dxa"/>
          </w:tcPr>
          <w:p>
            <w:pPr>
              <w:pStyle w:val="30"/>
            </w:pPr>
            <w:r>
              <w:rPr>
                <w:rFonts w:hint="eastAsia"/>
              </w:rPr>
              <w:t>正常显示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CPU</w:t>
            </w:r>
          </w:p>
        </w:tc>
        <w:tc>
          <w:tcPr>
            <w:tcW w:w="2599" w:type="dxa"/>
          </w:tcPr>
          <w:p>
            <w:pPr>
              <w:pStyle w:val="30"/>
            </w:pPr>
            <w:r>
              <w:rPr>
                <w:rFonts w:hint="eastAsia"/>
              </w:rPr>
              <w:t>1、笔记本通过ssh连接设备进入后台</w:t>
            </w:r>
          </w:p>
          <w:p>
            <w:pPr>
              <w:pStyle w:val="30"/>
            </w:pPr>
            <w:r>
              <w:rPr>
                <w:rFonts w:hint="eastAsia"/>
              </w:rPr>
              <w:t>2、lscpu 查看cpu信息</w:t>
            </w:r>
          </w:p>
        </w:tc>
        <w:tc>
          <w:tcPr>
            <w:tcW w:w="2844" w:type="dxa"/>
          </w:tcPr>
          <w:p>
            <w:pPr>
              <w:pStyle w:val="30"/>
            </w:pPr>
            <w:r>
              <w:rPr>
                <w:rFonts w:hint="eastAsia"/>
              </w:rPr>
              <w:t>正常显示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内存</w:t>
            </w:r>
          </w:p>
        </w:tc>
        <w:tc>
          <w:tcPr>
            <w:tcW w:w="2599" w:type="dxa"/>
          </w:tcPr>
          <w:p>
            <w:pPr>
              <w:pStyle w:val="30"/>
            </w:pPr>
            <w:r>
              <w:rPr>
                <w:rFonts w:hint="eastAsia"/>
              </w:rPr>
              <w:t>1、笔记本通过ssh连接设备进入后台</w:t>
            </w:r>
          </w:p>
          <w:p>
            <w:pPr>
              <w:pStyle w:val="30"/>
            </w:pPr>
            <w:r>
              <w:t>2</w:t>
            </w:r>
            <w:r>
              <w:rPr>
                <w:rFonts w:hint="eastAsia"/>
              </w:rPr>
              <w:t>、free</w:t>
            </w:r>
            <w:r>
              <w:t xml:space="preserve"> </w:t>
            </w:r>
            <w:r>
              <w:rPr>
                <w:rFonts w:hint="eastAsia"/>
              </w:rPr>
              <w:t>查看内存信息</w:t>
            </w:r>
          </w:p>
        </w:tc>
        <w:tc>
          <w:tcPr>
            <w:tcW w:w="2844" w:type="dxa"/>
          </w:tcPr>
          <w:p>
            <w:pPr>
              <w:pStyle w:val="30"/>
            </w:pPr>
            <w:r>
              <w:rPr>
                <w:rFonts w:hint="eastAsia"/>
              </w:rPr>
              <w:t>正常显示</w:t>
            </w:r>
          </w:p>
        </w:tc>
      </w:tr>
    </w:tbl>
    <w:p/>
    <w:p>
      <w:pPr>
        <w:pStyle w:val="4"/>
      </w:pPr>
      <w:bookmarkStart w:id="19" w:name="_Toc14807"/>
      <w:r>
        <w:rPr>
          <w:rFonts w:hint="eastAsia"/>
        </w:rPr>
        <w:t>网络环境检查</w:t>
      </w:r>
      <w:bookmarkEnd w:id="19"/>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3"/>
        <w:gridCol w:w="2599"/>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shd w:val="clear" w:color="auto" w:fill="538135" w:themeFill="accent6" w:themeFillShade="BF"/>
          </w:tcPr>
          <w:p>
            <w:pPr>
              <w:pStyle w:val="29"/>
            </w:pPr>
            <w:r>
              <w:rPr>
                <w:rFonts w:hint="eastAsia"/>
              </w:rPr>
              <w:t>检查项</w:t>
            </w:r>
          </w:p>
        </w:tc>
        <w:tc>
          <w:tcPr>
            <w:tcW w:w="2599" w:type="dxa"/>
            <w:shd w:val="clear" w:color="auto" w:fill="538135" w:themeFill="accent6" w:themeFillShade="BF"/>
          </w:tcPr>
          <w:p>
            <w:pPr>
              <w:pStyle w:val="29"/>
            </w:pPr>
            <w:r>
              <w:rPr>
                <w:rFonts w:hint="eastAsia"/>
              </w:rPr>
              <w:t>检查步骤</w:t>
            </w:r>
          </w:p>
        </w:tc>
        <w:tc>
          <w:tcPr>
            <w:tcW w:w="2844" w:type="dxa"/>
            <w:shd w:val="clear" w:color="auto" w:fill="538135" w:themeFill="accent6" w:themeFillShade="BF"/>
          </w:tcPr>
          <w:p>
            <w:pPr>
              <w:pStyle w:val="29"/>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tcPr>
          <w:p>
            <w:pPr>
              <w:pStyle w:val="30"/>
            </w:pPr>
            <w:r>
              <w:rPr>
                <w:rFonts w:hint="eastAsia"/>
              </w:rPr>
              <w:t>T</w:t>
            </w:r>
            <w:r>
              <w:t>CP</w:t>
            </w:r>
            <w:r>
              <w:rPr>
                <w:rFonts w:hint="eastAsia"/>
              </w:rPr>
              <w:t>端口</w:t>
            </w:r>
          </w:p>
        </w:tc>
        <w:tc>
          <w:tcPr>
            <w:tcW w:w="2599" w:type="dxa"/>
          </w:tcPr>
          <w:p>
            <w:pPr>
              <w:pStyle w:val="30"/>
              <w:numPr>
                <w:ilvl w:val="0"/>
                <w:numId w:val="9"/>
              </w:numPr>
            </w:pPr>
            <w:r>
              <w:rPr>
                <w:rFonts w:hint="eastAsia"/>
              </w:rPr>
              <w:t>检测网线是否正常</w:t>
            </w:r>
          </w:p>
          <w:p>
            <w:pPr>
              <w:pStyle w:val="30"/>
              <w:numPr>
                <w:ilvl w:val="0"/>
                <w:numId w:val="9"/>
              </w:numPr>
            </w:pPr>
            <w:r>
              <w:rPr>
                <w:rFonts w:hint="eastAsia"/>
              </w:rPr>
              <w:t>检查网口是否正常亮</w:t>
            </w:r>
          </w:p>
          <w:p>
            <w:pPr>
              <w:pStyle w:val="30"/>
              <w:numPr>
                <w:ilvl w:val="0"/>
                <w:numId w:val="9"/>
              </w:numPr>
            </w:pPr>
            <w:r>
              <w:rPr>
                <w:rFonts w:hint="eastAsia"/>
              </w:rPr>
              <w:t>网络信息配置好后对网关进行ping测试</w:t>
            </w:r>
          </w:p>
          <w:p>
            <w:pPr>
              <w:pStyle w:val="30"/>
              <w:numPr>
                <w:ilvl w:val="0"/>
                <w:numId w:val="9"/>
              </w:numPr>
            </w:pPr>
            <w:r>
              <w:rPr>
                <w:rFonts w:hint="eastAsia"/>
              </w:rPr>
              <w:t>对服务器ip进行ping测试</w:t>
            </w:r>
          </w:p>
        </w:tc>
        <w:tc>
          <w:tcPr>
            <w:tcW w:w="2844" w:type="dxa"/>
          </w:tcPr>
          <w:p>
            <w:pPr>
              <w:pStyle w:val="30"/>
            </w:pPr>
            <w:r>
              <w:rPr>
                <w:rFonts w:hint="eastAsia"/>
              </w:rPr>
              <w:t>正常</w:t>
            </w:r>
          </w:p>
        </w:tc>
      </w:tr>
    </w:tbl>
    <w:p>
      <w:pPr>
        <w:widowControl/>
        <w:spacing w:line="240" w:lineRule="auto"/>
        <w:ind w:firstLine="0"/>
        <w:jc w:val="left"/>
      </w:pPr>
    </w:p>
    <w:p>
      <w:pPr>
        <w:widowControl/>
        <w:spacing w:line="240" w:lineRule="auto"/>
        <w:ind w:firstLine="0"/>
        <w:jc w:val="left"/>
        <w:rPr>
          <w:rFonts w:cstheme="majorBidi"/>
          <w:b/>
          <w:bCs/>
          <w:sz w:val="28"/>
          <w:szCs w:val="28"/>
        </w:rPr>
      </w:pPr>
      <w:r>
        <w:br w:type="page"/>
      </w:r>
    </w:p>
    <w:p>
      <w:pPr>
        <w:pStyle w:val="2"/>
        <w:rPr>
          <w:rFonts w:cs="Times New Roman"/>
        </w:rPr>
      </w:pPr>
      <w:bookmarkStart w:id="20" w:name="_Toc9369"/>
      <w:r>
        <w:rPr>
          <w:rFonts w:hint="eastAsia" w:cs="Times New Roman"/>
        </w:rPr>
        <w:t>安装安全隔离与信息交换系统</w:t>
      </w:r>
      <w:bookmarkEnd w:id="20"/>
    </w:p>
    <w:p>
      <w:pPr>
        <w:pStyle w:val="3"/>
      </w:pPr>
      <w:bookmarkStart w:id="21" w:name="_Toc10284"/>
      <w:r>
        <w:rPr>
          <w:rFonts w:hint="eastAsia"/>
        </w:rPr>
        <w:t>安装模块1</w:t>
      </w:r>
      <w:bookmarkEnd w:id="21"/>
    </w:p>
    <w:p>
      <w:pPr>
        <w:pStyle w:val="4"/>
      </w:pPr>
      <w:bookmarkStart w:id="22" w:name="_Toc18137"/>
      <w:r>
        <w:rPr>
          <w:rFonts w:hint="eastAsia"/>
        </w:rPr>
        <w:t>安装须知</w:t>
      </w:r>
      <w:bookmarkEnd w:id="22"/>
    </w:p>
    <w:p>
      <w:pPr>
        <w:ind w:firstLine="480"/>
        <w:rPr>
          <w:rFonts w:ascii="宋体" w:hAnsi="宋体"/>
          <w:sz w:val="24"/>
          <w:szCs w:val="24"/>
        </w:rPr>
      </w:pPr>
      <w:r>
        <w:rPr>
          <w:rFonts w:hint="eastAsia" w:ascii="宋体" w:hAnsi="宋体"/>
          <w:sz w:val="24"/>
          <w:szCs w:val="24"/>
        </w:rPr>
        <w:t>本章列出的注意事项，请仔细阅读并在安装使用</w:t>
      </w:r>
      <w:r>
        <w:rPr>
          <w:rFonts w:ascii="宋体" w:hAnsi="宋体"/>
          <w:sz w:val="24"/>
          <w:szCs w:val="24"/>
        </w:rPr>
        <w:t>“</w:t>
      </w:r>
      <w:r>
        <w:rPr>
          <w:rFonts w:hint="eastAsia" w:ascii="宋体" w:hAnsi="宋体"/>
          <w:sz w:val="24"/>
          <w:szCs w:val="24"/>
        </w:rPr>
        <w:t>安全隔离与信息交换系统</w:t>
      </w:r>
      <w:r>
        <w:rPr>
          <w:rFonts w:ascii="宋体" w:hAnsi="宋体"/>
          <w:sz w:val="24"/>
          <w:szCs w:val="24"/>
        </w:rPr>
        <w:t>”</w:t>
      </w:r>
      <w:r>
        <w:rPr>
          <w:rFonts w:hint="eastAsia" w:ascii="宋体" w:hAnsi="宋体"/>
          <w:sz w:val="24"/>
          <w:szCs w:val="24"/>
        </w:rPr>
        <w:t>过程中严格执行。这将有助于</w:t>
      </w:r>
      <w:r>
        <w:rPr>
          <w:rFonts w:ascii="宋体" w:hAnsi="宋体"/>
          <w:sz w:val="24"/>
          <w:szCs w:val="24"/>
        </w:rPr>
        <w:t>您</w:t>
      </w:r>
      <w:r>
        <w:rPr>
          <w:rFonts w:hint="eastAsia" w:ascii="宋体" w:hAnsi="宋体"/>
          <w:sz w:val="24"/>
          <w:szCs w:val="24"/>
        </w:rPr>
        <w:t>更好地使用和维护您的安全隔离与信息交换系统。</w:t>
      </w:r>
    </w:p>
    <w:p>
      <w:pPr>
        <w:numPr>
          <w:ilvl w:val="0"/>
          <w:numId w:val="10"/>
        </w:numPr>
        <w:ind w:firstLine="480"/>
        <w:rPr>
          <w:rFonts w:ascii="宋体" w:hAnsi="宋体"/>
          <w:sz w:val="24"/>
          <w:szCs w:val="24"/>
        </w:rPr>
      </w:pPr>
      <w:r>
        <w:rPr>
          <w:rFonts w:hint="eastAsia" w:ascii="宋体" w:hAnsi="宋体"/>
          <w:sz w:val="24"/>
          <w:szCs w:val="24"/>
        </w:rPr>
        <w:t>安全隔离与信息交换系统应用环境为温度</w:t>
      </w:r>
      <w:r>
        <w:rPr>
          <w:rFonts w:ascii="宋体" w:hAnsi="宋体"/>
          <w:sz w:val="24"/>
          <w:szCs w:val="24"/>
        </w:rPr>
        <w:t>：</w:t>
      </w:r>
      <w:r>
        <w:rPr>
          <w:rFonts w:hint="eastAsia" w:ascii="宋体" w:hAnsi="宋体"/>
          <w:sz w:val="24"/>
          <w:szCs w:val="24"/>
        </w:rPr>
        <w:t>1</w:t>
      </w:r>
      <w:r>
        <w:rPr>
          <w:rFonts w:ascii="宋体" w:hAnsi="宋体"/>
          <w:sz w:val="24"/>
          <w:szCs w:val="24"/>
        </w:rPr>
        <w:t>0</w:t>
      </w:r>
      <w:r>
        <w:rPr>
          <w:rFonts w:hint="eastAsia" w:ascii="宋体" w:hAnsi="宋体"/>
          <w:sz w:val="24"/>
          <w:szCs w:val="24"/>
        </w:rPr>
        <w:t>℃～35℃</w:t>
      </w:r>
      <w:r>
        <w:rPr>
          <w:rFonts w:ascii="宋体" w:hAnsi="宋体"/>
          <w:sz w:val="24"/>
          <w:szCs w:val="24"/>
        </w:rPr>
        <w:t>之间，</w:t>
      </w:r>
      <w:r>
        <w:rPr>
          <w:rFonts w:hint="eastAsia" w:ascii="宋体" w:hAnsi="宋体"/>
          <w:sz w:val="24"/>
          <w:szCs w:val="24"/>
        </w:rPr>
        <w:t>湿度</w:t>
      </w:r>
      <w:r>
        <w:rPr>
          <w:rFonts w:ascii="宋体" w:hAnsi="宋体"/>
          <w:sz w:val="24"/>
          <w:szCs w:val="24"/>
        </w:rPr>
        <w:t>：</w:t>
      </w:r>
      <w:r>
        <w:rPr>
          <w:rFonts w:hint="eastAsia" w:ascii="宋体" w:hAnsi="宋体"/>
          <w:sz w:val="24"/>
          <w:szCs w:val="24"/>
        </w:rPr>
        <w:t>40</w:t>
      </w:r>
      <w:r>
        <w:rPr>
          <w:rFonts w:ascii="宋体" w:hAnsi="宋体"/>
          <w:sz w:val="24"/>
          <w:szCs w:val="24"/>
        </w:rPr>
        <w:t>%</w:t>
      </w:r>
      <w:r>
        <w:rPr>
          <w:rFonts w:hint="eastAsia" w:ascii="宋体" w:hAnsi="宋体"/>
          <w:sz w:val="24"/>
          <w:szCs w:val="24"/>
        </w:rPr>
        <w:t>～</w:t>
      </w:r>
      <w:r>
        <w:rPr>
          <w:rFonts w:ascii="宋体" w:hAnsi="宋体"/>
          <w:sz w:val="24"/>
          <w:szCs w:val="24"/>
        </w:rPr>
        <w:t>80%之间</w:t>
      </w:r>
      <w:r>
        <w:rPr>
          <w:rFonts w:hint="eastAsia" w:ascii="宋体" w:hAnsi="宋体"/>
          <w:sz w:val="24"/>
          <w:szCs w:val="24"/>
        </w:rPr>
        <w:t>；存储环境为温度</w:t>
      </w:r>
      <w:r>
        <w:rPr>
          <w:rFonts w:ascii="宋体" w:hAnsi="宋体"/>
          <w:sz w:val="24"/>
          <w:szCs w:val="24"/>
        </w:rPr>
        <w:t>：0</w:t>
      </w:r>
      <w:r>
        <w:rPr>
          <w:rFonts w:hint="eastAsia" w:ascii="宋体" w:hAnsi="宋体"/>
          <w:sz w:val="24"/>
          <w:szCs w:val="24"/>
        </w:rPr>
        <w:t>℃～</w:t>
      </w:r>
      <w:r>
        <w:rPr>
          <w:rFonts w:ascii="宋体" w:hAnsi="宋体"/>
          <w:sz w:val="24"/>
          <w:szCs w:val="24"/>
        </w:rPr>
        <w:t>70</w:t>
      </w:r>
      <w:r>
        <w:rPr>
          <w:rFonts w:hint="eastAsia" w:ascii="宋体" w:hAnsi="宋体"/>
          <w:sz w:val="24"/>
          <w:szCs w:val="24"/>
        </w:rPr>
        <w:t>℃</w:t>
      </w:r>
      <w:r>
        <w:rPr>
          <w:rFonts w:ascii="宋体" w:hAnsi="宋体"/>
          <w:sz w:val="24"/>
          <w:szCs w:val="24"/>
        </w:rPr>
        <w:t>之间</w:t>
      </w:r>
      <w:r>
        <w:rPr>
          <w:rFonts w:hint="eastAsia" w:ascii="宋体" w:hAnsi="宋体"/>
          <w:sz w:val="24"/>
          <w:szCs w:val="24"/>
        </w:rPr>
        <w:t>，湿度</w:t>
      </w:r>
      <w:r>
        <w:rPr>
          <w:rFonts w:ascii="宋体" w:hAnsi="宋体"/>
          <w:sz w:val="24"/>
          <w:szCs w:val="24"/>
        </w:rPr>
        <w:t>：</w:t>
      </w:r>
      <w:r>
        <w:rPr>
          <w:rFonts w:hint="eastAsia" w:ascii="宋体" w:hAnsi="宋体"/>
          <w:sz w:val="24"/>
          <w:szCs w:val="24"/>
        </w:rPr>
        <w:t>2</w:t>
      </w:r>
      <w:r>
        <w:rPr>
          <w:rFonts w:ascii="宋体" w:hAnsi="宋体"/>
          <w:sz w:val="24"/>
          <w:szCs w:val="24"/>
        </w:rPr>
        <w:t>0%</w:t>
      </w:r>
      <w:r>
        <w:rPr>
          <w:rFonts w:hint="eastAsia" w:ascii="宋体" w:hAnsi="宋体"/>
          <w:sz w:val="24"/>
          <w:szCs w:val="24"/>
        </w:rPr>
        <w:t>～</w:t>
      </w:r>
      <w:r>
        <w:rPr>
          <w:rFonts w:ascii="宋体" w:hAnsi="宋体"/>
          <w:sz w:val="24"/>
          <w:szCs w:val="24"/>
        </w:rPr>
        <w:t>95%之间</w:t>
      </w:r>
      <w:r>
        <w:rPr>
          <w:rFonts w:hint="eastAsia" w:ascii="宋体" w:hAnsi="宋体"/>
          <w:sz w:val="24"/>
          <w:szCs w:val="24"/>
        </w:rPr>
        <w:t>。</w:t>
      </w:r>
    </w:p>
    <w:p>
      <w:pPr>
        <w:numPr>
          <w:ilvl w:val="0"/>
          <w:numId w:val="10"/>
        </w:numPr>
        <w:ind w:firstLine="480"/>
        <w:rPr>
          <w:rFonts w:ascii="宋体" w:hAnsi="宋体"/>
          <w:sz w:val="24"/>
          <w:szCs w:val="24"/>
        </w:rPr>
      </w:pPr>
      <w:r>
        <w:rPr>
          <w:rFonts w:hint="eastAsia" w:ascii="宋体" w:hAnsi="宋体"/>
          <w:sz w:val="24"/>
          <w:szCs w:val="24"/>
        </w:rPr>
        <w:t>采用交流220</w:t>
      </w:r>
      <w:r>
        <w:rPr>
          <w:rFonts w:ascii="宋体" w:hAnsi="宋体"/>
          <w:sz w:val="24"/>
          <w:szCs w:val="24"/>
        </w:rPr>
        <w:t>V</w:t>
      </w:r>
      <w:r>
        <w:rPr>
          <w:rFonts w:hint="eastAsia" w:ascii="宋体" w:hAnsi="宋体"/>
          <w:sz w:val="24"/>
          <w:szCs w:val="24"/>
        </w:rPr>
        <w:t>电源。</w:t>
      </w:r>
    </w:p>
    <w:p>
      <w:pPr>
        <w:numPr>
          <w:ilvl w:val="0"/>
          <w:numId w:val="10"/>
        </w:numPr>
        <w:ind w:firstLine="480"/>
        <w:rPr>
          <w:rFonts w:ascii="宋体" w:hAnsi="宋体"/>
          <w:sz w:val="24"/>
          <w:szCs w:val="24"/>
        </w:rPr>
      </w:pPr>
      <w:r>
        <w:rPr>
          <w:rFonts w:hint="eastAsia" w:ascii="宋体" w:hAnsi="宋体"/>
          <w:sz w:val="24"/>
          <w:szCs w:val="24"/>
        </w:rPr>
        <w:t>必须使用三芯带接地保护的电源插头和插座。良好的接地是您的安全隔离与信息交换系统正常工作的重要保</w:t>
      </w:r>
      <w:r>
        <w:rPr>
          <w:rFonts w:ascii="宋体" w:hAnsi="宋体"/>
          <w:sz w:val="24"/>
          <w:szCs w:val="24"/>
        </w:rPr>
        <w:t>障，若</w:t>
      </w:r>
      <w:r>
        <w:rPr>
          <w:rFonts w:hint="eastAsia" w:ascii="宋体" w:hAnsi="宋体"/>
          <w:sz w:val="24"/>
          <w:szCs w:val="24"/>
        </w:rPr>
        <w:t>缺少接地保护线，在机箱的金属背板上可能会出现感应电压</w:t>
      </w:r>
      <w:r>
        <w:rPr>
          <w:rFonts w:ascii="宋体" w:hAnsi="宋体"/>
          <w:sz w:val="24"/>
          <w:szCs w:val="24"/>
        </w:rPr>
        <w:t>，</w:t>
      </w:r>
      <w:r>
        <w:rPr>
          <w:rFonts w:hint="eastAsia" w:ascii="宋体" w:hAnsi="宋体"/>
          <w:sz w:val="24"/>
          <w:szCs w:val="24"/>
        </w:rPr>
        <w:t>虽然不会对人体造成伤害，但在接触时可能会产生麻、痛等轻微触电的感觉。另外，如果您擅自更换标准电源线，可能会带来严重后果。</w:t>
      </w:r>
    </w:p>
    <w:p>
      <w:pPr>
        <w:ind w:firstLine="562"/>
        <w:rPr>
          <w:rFonts w:ascii="宋体" w:hAnsi="宋体"/>
          <w:b/>
          <w:szCs w:val="28"/>
        </w:rPr>
      </w:pPr>
      <w:r>
        <w:rPr>
          <w:rFonts w:hint="eastAsia" w:ascii="宋体" w:hAnsi="宋体"/>
          <w:b/>
          <w:szCs w:val="28"/>
        </w:rPr>
        <w:t>特别提示：</w:t>
      </w:r>
    </w:p>
    <w:p>
      <w:pPr>
        <w:pStyle w:val="40"/>
        <w:numPr>
          <w:ilvl w:val="0"/>
          <w:numId w:val="11"/>
        </w:numPr>
        <w:ind w:firstLineChars="0"/>
        <w:rPr>
          <w:rFonts w:ascii="宋体" w:hAnsi="宋体"/>
          <w:sz w:val="24"/>
          <w:szCs w:val="24"/>
        </w:rPr>
      </w:pPr>
      <w:r>
        <w:rPr>
          <w:rFonts w:hint="eastAsia" w:ascii="宋体" w:hAnsi="宋体"/>
          <w:sz w:val="24"/>
          <w:szCs w:val="24"/>
        </w:rPr>
        <w:t>遇到故障</w:t>
      </w:r>
      <w:r>
        <w:rPr>
          <w:rFonts w:ascii="宋体" w:hAnsi="宋体"/>
          <w:sz w:val="24"/>
          <w:szCs w:val="24"/>
        </w:rPr>
        <w:t>时</w:t>
      </w:r>
      <w:r>
        <w:rPr>
          <w:rFonts w:hint="eastAsia" w:ascii="宋体" w:hAnsi="宋体"/>
          <w:sz w:val="24"/>
          <w:szCs w:val="24"/>
        </w:rPr>
        <w:t>，请不要自行拆卸安全隔离与信息交换系统，建议</w:t>
      </w:r>
      <w:r>
        <w:rPr>
          <w:rFonts w:ascii="宋体" w:hAnsi="宋体"/>
          <w:sz w:val="24"/>
          <w:szCs w:val="24"/>
        </w:rPr>
        <w:t>您</w:t>
      </w:r>
      <w:r>
        <w:rPr>
          <w:rFonts w:hint="eastAsia" w:ascii="宋体" w:hAnsi="宋体"/>
          <w:sz w:val="24"/>
          <w:szCs w:val="24"/>
        </w:rPr>
        <w:t>与我们的技术支持人员（免费咨询电话：</w:t>
      </w:r>
      <w:r>
        <w:rPr>
          <w:rFonts w:ascii="宋体" w:hAnsi="宋体"/>
          <w:sz w:val="24"/>
          <w:szCs w:val="24"/>
        </w:rPr>
        <w:t>400-018-3898</w:t>
      </w:r>
      <w:r>
        <w:rPr>
          <w:rFonts w:hint="eastAsia" w:ascii="宋体" w:hAnsi="宋体"/>
          <w:sz w:val="24"/>
          <w:szCs w:val="24"/>
        </w:rPr>
        <w:t>）取得联系，以获得最佳解决方案。</w:t>
      </w:r>
    </w:p>
    <w:p>
      <w:pPr>
        <w:pStyle w:val="40"/>
        <w:numPr>
          <w:ilvl w:val="0"/>
          <w:numId w:val="11"/>
        </w:numPr>
        <w:ind w:firstLineChars="0"/>
        <w:rPr>
          <w:rFonts w:ascii="宋体" w:hAnsi="宋体"/>
          <w:sz w:val="24"/>
          <w:szCs w:val="24"/>
        </w:rPr>
      </w:pPr>
      <w:r>
        <w:rPr>
          <w:rFonts w:hint="eastAsia" w:ascii="宋体" w:hAnsi="宋体"/>
          <w:sz w:val="24"/>
          <w:szCs w:val="24"/>
        </w:rPr>
        <w:t>安全隔离与信息交换系统的搬运应注意</w:t>
      </w:r>
      <w:r>
        <w:rPr>
          <w:rFonts w:ascii="宋体" w:hAnsi="宋体"/>
          <w:sz w:val="24"/>
          <w:szCs w:val="24"/>
        </w:rPr>
        <w:t>以下几点事项</w:t>
      </w:r>
      <w:r>
        <w:rPr>
          <w:rFonts w:hint="eastAsia" w:ascii="宋体" w:hAnsi="宋体"/>
          <w:sz w:val="24"/>
          <w:szCs w:val="24"/>
        </w:rPr>
        <w:t>：</w:t>
      </w:r>
    </w:p>
    <w:p>
      <w:pPr>
        <w:ind w:firstLine="480"/>
        <w:rPr>
          <w:rFonts w:ascii="宋体" w:hAnsi="宋体"/>
          <w:sz w:val="24"/>
          <w:szCs w:val="24"/>
        </w:rPr>
      </w:pPr>
      <w:r>
        <w:rPr>
          <w:rFonts w:hint="eastAsia" w:ascii="宋体" w:hAnsi="宋体"/>
          <w:sz w:val="24"/>
          <w:szCs w:val="24"/>
        </w:rPr>
        <w:t>1）本安全隔离与信息交换系统的搬运最好使用出厂原包装。搬运之前请清点好所有部件和附带的资料。</w:t>
      </w:r>
    </w:p>
    <w:p>
      <w:pPr>
        <w:ind w:firstLine="480"/>
        <w:rPr>
          <w:rFonts w:ascii="宋体" w:hAnsi="宋体"/>
          <w:sz w:val="24"/>
          <w:szCs w:val="24"/>
        </w:rPr>
      </w:pPr>
      <w:r>
        <w:rPr>
          <w:rFonts w:hint="eastAsia" w:ascii="宋体" w:hAnsi="宋体"/>
          <w:sz w:val="24"/>
          <w:szCs w:val="24"/>
        </w:rPr>
        <w:t>2）将各个部件和附带的资料按出厂时的包装还原。</w:t>
      </w:r>
    </w:p>
    <w:p>
      <w:pPr>
        <w:ind w:firstLine="480"/>
        <w:rPr>
          <w:rFonts w:ascii="宋体" w:hAnsi="宋体"/>
          <w:sz w:val="24"/>
          <w:szCs w:val="24"/>
        </w:rPr>
      </w:pPr>
      <w:r>
        <w:rPr>
          <w:rFonts w:ascii="宋体" w:hAnsi="宋体"/>
          <w:sz w:val="24"/>
          <w:szCs w:val="24"/>
        </w:rPr>
        <w:t>3</w:t>
      </w:r>
      <w:r>
        <w:rPr>
          <w:rFonts w:hint="eastAsia" w:ascii="宋体" w:hAnsi="宋体"/>
          <w:sz w:val="24"/>
          <w:szCs w:val="24"/>
        </w:rPr>
        <w:t>）安全隔离与信息交换系统不可带电搬运，任何零部件不可带电插拔，否则可能损坏安全隔离与信息交换系统。</w:t>
      </w:r>
    </w:p>
    <w:p>
      <w:pPr>
        <w:ind w:firstLine="480"/>
        <w:rPr>
          <w:rFonts w:ascii="宋体" w:hAnsi="宋体"/>
          <w:sz w:val="24"/>
          <w:szCs w:val="24"/>
        </w:rPr>
      </w:pPr>
      <w:r>
        <w:rPr>
          <w:rFonts w:hint="eastAsia" w:ascii="宋体" w:hAnsi="宋体"/>
          <w:sz w:val="24"/>
          <w:szCs w:val="24"/>
        </w:rPr>
        <w:t>4）将安全隔离与信息交换系统打包完成后，用胶带封箱，即可搬运。安全隔离与信息交换系统搬运过程中，请不要剧烈碰撞和跌摔，不可雨淋。搬运过程请远离强静电，强磁场环境。</w:t>
      </w:r>
    </w:p>
    <w:p>
      <w:pPr>
        <w:pStyle w:val="4"/>
      </w:pPr>
      <w:bookmarkStart w:id="23" w:name="_Toc20431"/>
      <w:r>
        <w:rPr>
          <w:rFonts w:hint="eastAsia"/>
        </w:rPr>
        <w:t>安装软件包</w:t>
      </w:r>
      <w:bookmarkEnd w:id="23"/>
    </w:p>
    <w:p>
      <w:pPr>
        <w:rPr>
          <w:sz w:val="24"/>
          <w:szCs w:val="24"/>
        </w:rPr>
      </w:pPr>
      <w:r>
        <w:rPr>
          <w:rFonts w:hint="eastAsia"/>
          <w:sz w:val="24"/>
          <w:szCs w:val="24"/>
        </w:rPr>
        <w:t>出厂前已预装。</w:t>
      </w:r>
    </w:p>
    <w:p>
      <w:pPr>
        <w:rPr>
          <w:sz w:val="24"/>
          <w:szCs w:val="24"/>
        </w:rPr>
      </w:pPr>
      <w:r>
        <w:rPr>
          <w:rFonts w:hint="eastAsia"/>
          <w:sz w:val="24"/>
          <w:szCs w:val="24"/>
        </w:rPr>
        <w:t>initor-1.0.3.xxxxx-1.el7.centos.x86_64.rpm</w:t>
      </w:r>
    </w:p>
    <w:p>
      <w:pPr>
        <w:rPr>
          <w:sz w:val="24"/>
          <w:szCs w:val="24"/>
        </w:rPr>
      </w:pPr>
      <w:r>
        <w:rPr>
          <w:rFonts w:hint="eastAsia"/>
          <w:sz w:val="24"/>
          <w:szCs w:val="24"/>
        </w:rPr>
        <w:t>topgap-1.0.3.xxxxx-1.el7.centos.x86_64.rpm</w:t>
      </w:r>
    </w:p>
    <w:p>
      <w:r>
        <w:rPr>
          <w:rFonts w:hint="eastAsia"/>
          <w:sz w:val="24"/>
          <w:szCs w:val="24"/>
        </w:rPr>
        <w:t>dataway_x-2.0.2.3.xxxxx-1.el7.x86_64.rpm</w:t>
      </w:r>
    </w:p>
    <w:p>
      <w:pPr>
        <w:pStyle w:val="4"/>
      </w:pPr>
      <w:bookmarkStart w:id="24" w:name="_Toc8810"/>
      <w:r>
        <w:rPr>
          <w:rFonts w:hint="eastAsia"/>
        </w:rPr>
        <w:t>操作步骤</w:t>
      </w:r>
      <w:bookmarkEnd w:id="24"/>
      <w:r>
        <w:rPr>
          <w:rFonts w:hint="eastAsia"/>
        </w:rPr>
        <w:t xml:space="preserve"> </w:t>
      </w:r>
    </w:p>
    <w:p>
      <w:pPr>
        <w:rPr>
          <w:color w:val="FF0000"/>
        </w:rPr>
      </w:pPr>
      <w:r>
        <w:rPr>
          <w:rFonts w:hint="eastAsia"/>
          <w:color w:val="FF0000"/>
        </w:rPr>
        <w:t>注：默认出厂已完成以下安装。</w:t>
      </w:r>
    </w:p>
    <w:p>
      <w:pPr>
        <w:pStyle w:val="57"/>
        <w:numPr>
          <w:ilvl w:val="0"/>
          <w:numId w:val="12"/>
        </w:numPr>
      </w:pPr>
      <w:r>
        <w:rPr>
          <w:rFonts w:hint="eastAsia"/>
        </w:rPr>
        <w:t>以root用户设备</w:t>
      </w:r>
    </w:p>
    <w:p>
      <w:pPr>
        <w:pStyle w:val="57"/>
        <w:numPr>
          <w:ilvl w:val="0"/>
          <w:numId w:val="12"/>
        </w:numPr>
      </w:pPr>
      <w:r>
        <w:rPr>
          <w:rFonts w:hint="eastAsia"/>
        </w:rPr>
        <w:t>将安装包上传至设备“/”目录下。</w:t>
      </w:r>
    </w:p>
    <w:p>
      <w:pPr>
        <w:pStyle w:val="57"/>
        <w:numPr>
          <w:ilvl w:val="0"/>
          <w:numId w:val="12"/>
        </w:numPr>
      </w:pPr>
      <w:r>
        <w:rPr>
          <w:rFonts w:hint="eastAsia"/>
        </w:rPr>
        <w:t xml:space="preserve">执行以下命令rpm -ivh </w:t>
      </w:r>
      <w:r>
        <w:rPr>
          <w:rFonts w:hint="eastAsia"/>
          <w:sz w:val="24"/>
          <w:szCs w:val="24"/>
        </w:rPr>
        <w:t>initor-1.0.3.xxxxx-1.el7.centos.x86_64.rpm</w:t>
      </w:r>
    </w:p>
    <w:p>
      <w:pPr>
        <w:pStyle w:val="57"/>
        <w:numPr>
          <w:ilvl w:val="0"/>
          <w:numId w:val="0"/>
        </w:numPr>
        <w:tabs>
          <w:tab w:val="clear" w:pos="1276"/>
        </w:tabs>
        <w:rPr>
          <w:sz w:val="24"/>
          <w:szCs w:val="24"/>
        </w:rPr>
      </w:pPr>
      <w:r>
        <w:rPr>
          <w:rFonts w:hint="eastAsia"/>
        </w:rPr>
        <w:tab/>
      </w:r>
      <w:r>
        <w:rPr>
          <w:rFonts w:hint="eastAsia"/>
        </w:rPr>
        <w:t xml:space="preserve">rpm -ivh </w:t>
      </w:r>
      <w:r>
        <w:rPr>
          <w:rFonts w:hint="eastAsia"/>
          <w:sz w:val="24"/>
          <w:szCs w:val="24"/>
        </w:rPr>
        <w:t>topgap-1.0.3.xxxxx-1.el7.centos.x86_64.rpm</w:t>
      </w:r>
    </w:p>
    <w:p>
      <w:pPr>
        <w:pStyle w:val="57"/>
        <w:numPr>
          <w:ilvl w:val="0"/>
          <w:numId w:val="0"/>
        </w:numPr>
        <w:tabs>
          <w:tab w:val="clear" w:pos="1276"/>
        </w:tabs>
      </w:pPr>
      <w:r>
        <w:rPr>
          <w:rFonts w:hint="eastAsia"/>
          <w:sz w:val="24"/>
          <w:szCs w:val="24"/>
        </w:rPr>
        <w:tab/>
      </w:r>
      <w:r>
        <w:rPr>
          <w:rFonts w:hint="eastAsia"/>
          <w:sz w:val="24"/>
          <w:szCs w:val="24"/>
        </w:rPr>
        <w:t>rpm -ivh dataway_x-2.0.2.3.xxxxx-1.el7.x86_64.rpm，即可安装</w:t>
      </w:r>
    </w:p>
    <w:p>
      <w:pPr>
        <w:widowControl/>
        <w:spacing w:line="240" w:lineRule="auto"/>
        <w:ind w:firstLine="0"/>
        <w:jc w:val="left"/>
      </w:pPr>
      <w:r>
        <w:br w:type="page"/>
      </w:r>
    </w:p>
    <w:p>
      <w:pPr>
        <w:pStyle w:val="2"/>
      </w:pPr>
      <w:bookmarkStart w:id="25" w:name="_Toc19673"/>
      <w:r>
        <w:rPr>
          <w:rFonts w:hint="eastAsia"/>
        </w:rPr>
        <w:t>安装后检查</w:t>
      </w:r>
      <w:bookmarkEnd w:id="25"/>
    </w:p>
    <w:p>
      <w:pPr>
        <w:pStyle w:val="54"/>
        <w:ind w:firstLine="420"/>
      </w:pPr>
      <w:r>
        <w:rPr>
          <w:rFonts w:hint="eastAsia"/>
        </w:rPr>
        <w:t>此章节主要阐述安装部署之后的产品运行是否正常？检查可以围绕模块功能运行是否正常、后台关键服务是否运行正常维度展开。</w:t>
      </w:r>
    </w:p>
    <w:p>
      <w:pPr>
        <w:pStyle w:val="3"/>
        <w:numPr>
          <w:ilvl w:val="0"/>
          <w:numId w:val="0"/>
        </w:numPr>
      </w:pPr>
      <w:bookmarkStart w:id="26" w:name="_Toc26301"/>
      <w:r>
        <w:rPr>
          <w:rFonts w:hint="eastAsia"/>
        </w:rPr>
        <w:t>检查管理功能运行</w:t>
      </w:r>
      <w:bookmarkEnd w:id="26"/>
    </w:p>
    <w:tbl>
      <w:tblPr>
        <w:tblStyle w:val="2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3006"/>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64" w:type="dxa"/>
            <w:shd w:val="clear" w:color="auto" w:fill="538135" w:themeFill="accent6" w:themeFillShade="BF"/>
          </w:tcPr>
          <w:p>
            <w:pPr>
              <w:pStyle w:val="29"/>
            </w:pPr>
            <w:r>
              <w:rPr>
                <w:rFonts w:hint="eastAsia"/>
              </w:rPr>
              <w:t>检查项</w:t>
            </w:r>
          </w:p>
        </w:tc>
        <w:tc>
          <w:tcPr>
            <w:tcW w:w="3006" w:type="dxa"/>
            <w:shd w:val="clear" w:color="auto" w:fill="538135" w:themeFill="accent6" w:themeFillShade="BF"/>
          </w:tcPr>
          <w:p>
            <w:pPr>
              <w:pStyle w:val="29"/>
            </w:pPr>
            <w:r>
              <w:rPr>
                <w:rFonts w:hint="eastAsia"/>
              </w:rPr>
              <w:t>检查步骤</w:t>
            </w:r>
          </w:p>
        </w:tc>
        <w:tc>
          <w:tcPr>
            <w:tcW w:w="2506" w:type="dxa"/>
            <w:shd w:val="clear" w:color="auto" w:fill="538135" w:themeFill="accent6" w:themeFillShade="BF"/>
          </w:tcPr>
          <w:p>
            <w:pPr>
              <w:pStyle w:val="29"/>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tcPr>
          <w:p>
            <w:pPr>
              <w:pStyle w:val="30"/>
            </w:pPr>
            <w:r>
              <w:t>W</w:t>
            </w:r>
            <w:r>
              <w:rPr>
                <w:rFonts w:hint="eastAsia"/>
              </w:rPr>
              <w:t>eb管理页面</w:t>
            </w:r>
          </w:p>
        </w:tc>
        <w:tc>
          <w:tcPr>
            <w:tcW w:w="3006" w:type="dxa"/>
          </w:tcPr>
          <w:p>
            <w:pPr>
              <w:pStyle w:val="30"/>
              <w:numPr>
                <w:ilvl w:val="0"/>
                <w:numId w:val="13"/>
              </w:numPr>
            </w:pPr>
            <w:r>
              <w:rPr>
                <w:rFonts w:hint="eastAsia"/>
              </w:rPr>
              <w:t>设备开机后，管理主机使用网线先后分别连接设备内、外网端ge</w:t>
            </w:r>
            <w:r>
              <w:t>1</w:t>
            </w:r>
            <w:r>
              <w:rPr>
                <w:rFonts w:hint="eastAsia"/>
              </w:rPr>
              <w:t>；</w:t>
            </w:r>
          </w:p>
          <w:p>
            <w:pPr>
              <w:pStyle w:val="30"/>
              <w:numPr>
                <w:ilvl w:val="0"/>
                <w:numId w:val="13"/>
              </w:numPr>
            </w:pPr>
            <w:r>
              <w:rPr>
                <w:rFonts w:hint="eastAsia"/>
              </w:rPr>
              <w:t>管理主机配置</w:t>
            </w:r>
            <w:r>
              <w:t>192.168.1.0</w:t>
            </w:r>
            <w:r>
              <w:rPr>
                <w:rFonts w:hint="eastAsia"/>
              </w:rPr>
              <w:t>/</w:t>
            </w:r>
            <w:r>
              <w:t>24</w:t>
            </w:r>
            <w:r>
              <w:rPr>
                <w:rFonts w:hint="eastAsia"/>
              </w:rPr>
              <w:t>段的地址（不能配置1</w:t>
            </w:r>
            <w:r>
              <w:t>92.168.1.1</w:t>
            </w:r>
            <w:r>
              <w:rPr>
                <w:rFonts w:hint="eastAsia"/>
              </w:rPr>
              <w:t>）</w:t>
            </w:r>
          </w:p>
          <w:p>
            <w:pPr>
              <w:pStyle w:val="30"/>
              <w:numPr>
                <w:ilvl w:val="0"/>
                <w:numId w:val="13"/>
              </w:numPr>
            </w:pPr>
            <w:r>
              <w:rPr>
                <w:rFonts w:hint="eastAsia"/>
              </w:rPr>
              <w:t>管理主机打开浏览器输入</w:t>
            </w:r>
            <w:r>
              <w:fldChar w:fldCharType="begin"/>
            </w:r>
            <w:r>
              <w:instrText xml:space="preserve">HYPERLINK "https://192.168.1.1:19080"</w:instrText>
            </w:r>
            <w:r>
              <w:fldChar w:fldCharType="separate"/>
            </w:r>
            <w:r>
              <w:rPr>
                <w:rStyle w:val="24"/>
              </w:rPr>
              <w:t>https://192.168.1.1:19080</w:t>
            </w:r>
            <w:r>
              <w:rPr>
                <w:rStyle w:val="24"/>
              </w:rPr>
              <w:fldChar w:fldCharType="end"/>
            </w:r>
            <w:r>
              <w:rPr>
                <w:rFonts w:hint="eastAsia"/>
              </w:rPr>
              <w:t>进入登录页面后输入账号密码登录。</w:t>
            </w:r>
          </w:p>
        </w:tc>
        <w:tc>
          <w:tcPr>
            <w:tcW w:w="2506" w:type="dxa"/>
          </w:tcPr>
          <w:p>
            <w:pPr>
              <w:pStyle w:val="30"/>
            </w:pPr>
            <w:r>
              <w:rPr>
                <w:rFonts w:hint="eastAsia"/>
              </w:rPr>
              <w:t>可以正常登录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tcPr>
          <w:p>
            <w:pPr>
              <w:pStyle w:val="30"/>
            </w:pPr>
            <w:r>
              <w:t>SSH</w:t>
            </w:r>
            <w:r>
              <w:rPr>
                <w:rFonts w:hint="eastAsia"/>
              </w:rPr>
              <w:t>管理</w:t>
            </w:r>
          </w:p>
        </w:tc>
        <w:tc>
          <w:tcPr>
            <w:tcW w:w="3006" w:type="dxa"/>
          </w:tcPr>
          <w:p>
            <w:pPr>
              <w:pStyle w:val="30"/>
            </w:pPr>
            <w:r>
              <w:rPr>
                <w:rFonts w:hint="eastAsia"/>
              </w:rPr>
              <w:t>1）登录web管理界面后，在设备管理方式配置菜单打开ssh管理开关；</w:t>
            </w:r>
          </w:p>
          <w:p>
            <w:pPr>
              <w:pStyle w:val="30"/>
            </w:pPr>
            <w:r>
              <w:rPr>
                <w:rFonts w:hint="eastAsia"/>
              </w:rPr>
              <w:t>2）使用ssh工具连接，地址输入1</w:t>
            </w:r>
            <w:r>
              <w:t>92.168.1.1</w:t>
            </w:r>
            <w:r>
              <w:rPr>
                <w:rFonts w:hint="eastAsia"/>
              </w:rPr>
              <w:t>，输入账号密码登录</w:t>
            </w:r>
          </w:p>
        </w:tc>
        <w:tc>
          <w:tcPr>
            <w:tcW w:w="2506" w:type="dxa"/>
          </w:tcPr>
          <w:p>
            <w:pPr>
              <w:pStyle w:val="30"/>
            </w:pPr>
            <w:r>
              <w:rPr>
                <w:rFonts w:hint="eastAsia"/>
              </w:rPr>
              <w:t>可以正常登录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tcPr>
          <w:p>
            <w:pPr>
              <w:pStyle w:val="30"/>
            </w:pPr>
          </w:p>
        </w:tc>
        <w:tc>
          <w:tcPr>
            <w:tcW w:w="3006" w:type="dxa"/>
          </w:tcPr>
          <w:p>
            <w:pPr>
              <w:pStyle w:val="30"/>
            </w:pPr>
          </w:p>
        </w:tc>
        <w:tc>
          <w:tcPr>
            <w:tcW w:w="2506" w:type="dxa"/>
          </w:tcPr>
          <w:p>
            <w:pPr>
              <w:pStyle w:val="30"/>
            </w:pPr>
          </w:p>
        </w:tc>
      </w:tr>
    </w:tbl>
    <w:p>
      <w:pPr>
        <w:pStyle w:val="54"/>
        <w:ind w:firstLine="420"/>
      </w:pPr>
    </w:p>
    <w:p/>
    <w:p>
      <w:pPr>
        <w:widowControl/>
        <w:spacing w:line="240" w:lineRule="auto"/>
        <w:ind w:firstLine="0"/>
        <w:jc w:val="left"/>
        <w:rPr>
          <w:b/>
          <w:bCs/>
          <w:kern w:val="44"/>
          <w:sz w:val="44"/>
          <w:szCs w:val="44"/>
        </w:rPr>
      </w:pPr>
    </w:p>
    <w:p>
      <w:pPr>
        <w:pStyle w:val="2"/>
        <w:spacing w:line="240" w:lineRule="auto"/>
        <w:ind w:firstLine="0"/>
      </w:pPr>
      <w:bookmarkStart w:id="27" w:name="_Toc3496"/>
      <w:r>
        <w:rPr>
          <w:rFonts w:hint="eastAsia"/>
        </w:rPr>
        <w:t>FAQ</w:t>
      </w:r>
      <w:bookmarkEnd w:id="27"/>
    </w:p>
    <w:p>
      <w:pPr>
        <w:pStyle w:val="54"/>
        <w:ind w:firstLine="420"/>
      </w:pPr>
      <w:r>
        <w:rPr>
          <w:rFonts w:hint="eastAsia"/>
        </w:rPr>
        <w:t>本章总结在安装部署某款产品时候的常见问题及通用解答。表格形式可供参考。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694"/>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538135" w:themeFill="accent6" w:themeFillShade="BF"/>
          </w:tcPr>
          <w:p>
            <w:pPr>
              <w:pStyle w:val="29"/>
            </w:pPr>
            <w:r>
              <w:rPr>
                <w:rFonts w:hint="eastAsia"/>
              </w:rPr>
              <w:t>序号</w:t>
            </w:r>
          </w:p>
        </w:tc>
        <w:tc>
          <w:tcPr>
            <w:tcW w:w="2694" w:type="dxa"/>
            <w:shd w:val="clear" w:color="auto" w:fill="538135" w:themeFill="accent6" w:themeFillShade="BF"/>
          </w:tcPr>
          <w:p>
            <w:pPr>
              <w:pStyle w:val="29"/>
            </w:pPr>
            <w:r>
              <w:rPr>
                <w:rFonts w:hint="eastAsia"/>
              </w:rPr>
              <w:t>问题</w:t>
            </w:r>
          </w:p>
        </w:tc>
        <w:tc>
          <w:tcPr>
            <w:tcW w:w="4632" w:type="dxa"/>
            <w:shd w:val="clear" w:color="auto" w:fill="538135" w:themeFill="accent6" w:themeFillShade="BF"/>
          </w:tcPr>
          <w:p>
            <w:pPr>
              <w:pStyle w:val="29"/>
            </w:pPr>
            <w:r>
              <w:rPr>
                <w:rFonts w:hint="eastAsia"/>
              </w:rPr>
              <w:t>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业务口能否配置管理口同段地址</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业务口禁止配置管理口同段地址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2</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管理路由如何配置</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管理路由严格按照添加顺序：管理口直连路由-&gt;管理口默认路由-&gt;策略路由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3</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T</w:t>
            </w:r>
            <w:r>
              <w:rPr>
                <w:rFonts w:ascii="等线" w:hAnsi="等线" w:eastAsia="等线"/>
                <w:color w:val="000000"/>
                <w:sz w:val="22"/>
              </w:rPr>
              <w:t>CP</w:t>
            </w:r>
            <w:r>
              <w:rPr>
                <w:rFonts w:hint="eastAsia" w:ascii="等线" w:hAnsi="等线" w:eastAsia="等线"/>
                <w:color w:val="000000"/>
                <w:sz w:val="22"/>
              </w:rPr>
              <w:t>接入端策略不能使用的端口</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以下端口为设备自用端口，TCP配置不可使用：22\19080\19081\33060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4</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安全代理源地址范围限制不生效</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安全代理源地址限制单个IP限制，配置源地址对象时需注意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5</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H</w:t>
            </w:r>
            <w:r>
              <w:rPr>
                <w:rFonts w:ascii="等线" w:hAnsi="等线" w:eastAsia="等线"/>
                <w:color w:val="000000"/>
                <w:sz w:val="22"/>
              </w:rPr>
              <w:t>TTP</w:t>
            </w:r>
            <w:r>
              <w:rPr>
                <w:rFonts w:hint="eastAsia" w:ascii="等线" w:hAnsi="等线" w:eastAsia="等线"/>
                <w:color w:val="000000"/>
                <w:sz w:val="22"/>
              </w:rPr>
              <w:t>地址+端口和域名能同时配置吗</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转发端一条策略可以配置地址+端口或者域名，两者不可同时配置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6</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视频配置</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当取流使用RTCP保活时出现中断需要修改流保活为主动模式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7</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视频配置</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一对平台上下级联需要网闸配置一对IP地址，不可复用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8</w:t>
            </w:r>
          </w:p>
        </w:tc>
        <w:tc>
          <w:tcPr>
            <w:tcW w:w="2694" w:type="dxa"/>
            <w:vAlign w:val="center"/>
          </w:tcPr>
          <w:p>
            <w:pPr>
              <w:widowControl/>
              <w:spacing w:line="240" w:lineRule="auto"/>
              <w:ind w:firstLine="0"/>
              <w:jc w:val="center"/>
              <w:rPr>
                <w:rFonts w:ascii="等线" w:hAnsi="等线" w:eastAsia="等线"/>
                <w:color w:val="000000"/>
                <w:kern w:val="0"/>
                <w:sz w:val="22"/>
              </w:rPr>
            </w:pPr>
            <w:r>
              <w:rPr>
                <w:rFonts w:hint="eastAsia" w:ascii="等线" w:hAnsi="等线" w:eastAsia="等线"/>
                <w:color w:val="000000"/>
                <w:sz w:val="22"/>
              </w:rPr>
              <w:t>R</w:t>
            </w:r>
            <w:r>
              <w:rPr>
                <w:rFonts w:ascii="等线" w:hAnsi="等线" w:eastAsia="等线"/>
                <w:color w:val="000000"/>
                <w:sz w:val="22"/>
              </w:rPr>
              <w:t>TSP</w:t>
            </w:r>
            <w:r>
              <w:rPr>
                <w:rFonts w:hint="eastAsia" w:ascii="等线" w:hAnsi="等线" w:eastAsia="等线"/>
                <w:color w:val="000000"/>
                <w:sz w:val="22"/>
              </w:rPr>
              <w:t>主被动模式的区别</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被动模式为客户端向服务器拉流，主动模式为客户端向服务器推流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9</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数据库同步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全量同步时当表中字段类型存在CLOB、BLOB等大字段时需要在高级配置中将并行数量、获取条数、提交条数等数值调小。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r>
              <w:t>0</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数据库同步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全量同步时当表中字段类型存在CLOB、BLOB等大字段时建议单独建立一个任务执行，避免影响效率。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r>
              <w:t>1</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数据库同步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全量同步高级配置清空执行选项为清空目标表数据，默认为否，谨慎使用，清空表操作建议客户自己手动执行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r>
              <w:t>2</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数据库同步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实时同步需要在数据库源库中建立事件表和触发器，需要和用户提前告知，提供的数据库用户需要有相应权限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r>
              <w:t>3</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文件同步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配置路径为当前文件系统的绝对路径，开头结尾都要有反斜杠/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jc w:val="center"/>
            </w:pPr>
            <w:r>
              <w:rPr>
                <w:rFonts w:hint="eastAsia"/>
              </w:rPr>
              <w:t>1</w:t>
            </w:r>
            <w:r>
              <w:t>4</w:t>
            </w:r>
          </w:p>
        </w:tc>
        <w:tc>
          <w:tcPr>
            <w:tcW w:w="2694" w:type="dxa"/>
            <w:vAlign w:val="center"/>
          </w:tcPr>
          <w:p>
            <w:pPr>
              <w:widowControl/>
              <w:spacing w:line="240" w:lineRule="auto"/>
              <w:ind w:firstLine="0"/>
              <w:jc w:val="center"/>
              <w:rPr>
                <w:rFonts w:ascii="等线" w:hAnsi="等线" w:eastAsia="等线"/>
                <w:color w:val="000000"/>
                <w:sz w:val="22"/>
              </w:rPr>
            </w:pPr>
            <w:r>
              <w:rPr>
                <w:rFonts w:hint="eastAsia" w:ascii="等线" w:hAnsi="等线" w:eastAsia="等线"/>
                <w:color w:val="000000"/>
                <w:sz w:val="22"/>
              </w:rPr>
              <w:t>文件同步</w:t>
            </w:r>
          </w:p>
        </w:tc>
        <w:tc>
          <w:tcPr>
            <w:tcW w:w="4632" w:type="dxa"/>
          </w:tcPr>
          <w:p>
            <w:pPr>
              <w:widowControl/>
              <w:spacing w:line="240" w:lineRule="auto"/>
              <w:ind w:firstLine="0"/>
              <w:rPr>
                <w:rFonts w:ascii="等线" w:hAnsi="等线" w:eastAsia="等线"/>
                <w:color w:val="000000"/>
                <w:kern w:val="0"/>
                <w:sz w:val="22"/>
              </w:rPr>
            </w:pPr>
            <w:r>
              <w:rPr>
                <w:rFonts w:hint="eastAsia" w:ascii="等线" w:hAnsi="等线" w:eastAsia="等线"/>
                <w:color w:val="000000"/>
                <w:sz w:val="22"/>
              </w:rPr>
              <w:t>SFTP文件系统同步需要注意版本问题，ssh较低版本不再适用</w:t>
            </w:r>
          </w:p>
        </w:tc>
      </w:tr>
    </w:tbl>
    <w:p>
      <w:pPr>
        <w:pStyle w:val="42"/>
        <w:numPr>
          <w:ilvl w:val="0"/>
          <w:numId w:val="0"/>
        </w:numPr>
      </w:pPr>
    </w:p>
    <w:p/>
    <w:sectPr>
      <w:footerReference r:id="rId11" w:type="default"/>
      <w:pgSz w:w="11906" w:h="16838"/>
      <w:pgMar w:top="1440" w:right="1644" w:bottom="1440" w:left="1797" w:header="851"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299265587"/>
      </w:sdtPr>
      <w:sdtContent>
        <w:r>
          <w:fldChar w:fldCharType="begin"/>
        </w:r>
        <w:r>
          <w:instrText xml:space="preserve">PAGE   \* MERGEFORMAT</w:instrText>
        </w:r>
        <w:r>
          <w:fldChar w:fldCharType="separate"/>
        </w:r>
        <w:r>
          <w:rPr>
            <w:lang w:val="zh-CN"/>
          </w:rPr>
          <w:t>iii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
      </w:sdtPr>
      <w:sdtContent>
        <w:r>
          <w:fldChar w:fldCharType="begin"/>
        </w:r>
        <w:r>
          <w:instrText xml:space="preserve">PAGE   \* MERGEFORMAT</w:instrText>
        </w:r>
        <w:r>
          <w:fldChar w:fldCharType="separate"/>
        </w:r>
        <w:r>
          <w:rPr>
            <w:lang w:val="zh-CN"/>
          </w:rPr>
          <w:t>ii</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473801655"/>
      </w:sdtPr>
      <w:sdtContent>
        <w:r>
          <w:fldChar w:fldCharType="begin"/>
        </w:r>
        <w:r>
          <w:instrText xml:space="preserve">PAGE   \* MERGEFORMAT</w:instrText>
        </w:r>
        <w:r>
          <w:fldChar w:fldCharType="separate"/>
        </w:r>
        <w:r>
          <w:rPr>
            <w:lang w:val="zh-CN"/>
          </w:rPr>
          <w:t>13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-85725</wp:posOffset>
          </wp:positionV>
          <wp:extent cx="1326515" cy="327025"/>
          <wp:effectExtent l="0" t="0" r="19685" b="3175"/>
          <wp:wrapNone/>
          <wp:docPr id="3"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数字安全LOGO（slogan）_03"/>
                  <pic:cNvPicPr>
                    <a:picLocks noChangeAspect="1"/>
                  </pic:cNvPicPr>
                </pic:nvPicPr>
                <pic:blipFill>
                  <a:blip r:embed="rId1"/>
                  <a:stretch>
                    <a:fillRect/>
                  </a:stretch>
                </pic:blipFill>
                <pic:spPr>
                  <a:xfrm>
                    <a:off x="0" y="0"/>
                    <a:ext cx="1326515" cy="327025"/>
                  </a:xfrm>
                  <a:prstGeom prst="rect">
                    <a:avLst/>
                  </a:prstGeom>
                  <a:noFill/>
                  <a:ln>
                    <a:noFill/>
                  </a:ln>
                </pic:spPr>
              </pic:pic>
            </a:graphicData>
          </a:graphic>
        </wp:anchor>
      </w:drawing>
    </w:r>
    <w:r>
      <w:rPr>
        <w:rFonts w:hint="eastAsia" w:ascii="宋体" w:hAnsi="宋体"/>
      </w:rPr>
      <w:t>360安全隔离与信息交换系统部署及配置手册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rPr>
        <w:rFonts w:hint="eastAsia" w:ascii="宋体" w:hAnsi="宋体"/>
      </w:rPr>
      <w:t>360安全隔离与信息交换系统部署及配置手册</w:t>
    </w:r>
    <w:r>
      <w:drawing>
        <wp:anchor distT="0" distB="0" distL="114300" distR="114300" simplePos="0" relativeHeight="251663360" behindDoc="0" locked="0" layoutInCell="1" allowOverlap="1">
          <wp:simplePos x="0" y="0"/>
          <wp:positionH relativeFrom="column">
            <wp:posOffset>-6985</wp:posOffset>
          </wp:positionH>
          <wp:positionV relativeFrom="paragraph">
            <wp:posOffset>-85725</wp:posOffset>
          </wp:positionV>
          <wp:extent cx="1326515" cy="327025"/>
          <wp:effectExtent l="0" t="0" r="19685" b="3175"/>
          <wp:wrapNone/>
          <wp:docPr id="1"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字安全LOGO（slogan）_03"/>
                  <pic:cNvPicPr>
                    <a:picLocks noChangeAspect="1"/>
                  </pic:cNvPicPr>
                </pic:nvPicPr>
                <pic:blipFill>
                  <a:blip r:embed="rId1"/>
                  <a:stretch>
                    <a:fillRect/>
                  </a:stretch>
                </pic:blipFill>
                <pic:spPr>
                  <a:xfrm>
                    <a:off x="0" y="0"/>
                    <a:ext cx="1326515" cy="3270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B3D34"/>
    <w:multiLevelType w:val="multilevel"/>
    <w:tmpl w:val="094B3D3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E336078"/>
    <w:multiLevelType w:val="multilevel"/>
    <w:tmpl w:val="0E336078"/>
    <w:lvl w:ilvl="0" w:tentative="0">
      <w:start w:val="1"/>
      <w:numFmt w:val="bullet"/>
      <w:pStyle w:val="42"/>
      <w:lvlText w:val=""/>
      <w:lvlJc w:val="left"/>
      <w:pPr>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2">
    <w:nsid w:val="18262C5A"/>
    <w:multiLevelType w:val="multilevel"/>
    <w:tmpl w:val="18262C5A"/>
    <w:lvl w:ilvl="0" w:tentative="0">
      <w:start w:val="1"/>
      <w:numFmt w:val="decimal"/>
      <w:pStyle w:val="57"/>
      <w:lvlText w:val="步骤%1."/>
      <w:lvlJc w:val="left"/>
      <w:pPr>
        <w:tabs>
          <w:tab w:val="left" w:pos="1276"/>
        </w:tabs>
        <w:ind w:left="1276" w:hanging="879"/>
      </w:pPr>
      <w:rPr>
        <w:rFonts w:hint="default" w:ascii="Times New Roman" w:hAnsi="Times New Roman" w:eastAsia="宋体"/>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1469"/>
        </w:tabs>
        <w:ind w:left="1469" w:hanging="420"/>
      </w:pPr>
      <w:rPr>
        <w:rFonts w:hint="eastAsia"/>
      </w:rPr>
    </w:lvl>
    <w:lvl w:ilvl="2" w:tentative="0">
      <w:start w:val="1"/>
      <w:numFmt w:val="lowerRoman"/>
      <w:lvlText w:val="%3."/>
      <w:lvlJc w:val="right"/>
      <w:pPr>
        <w:tabs>
          <w:tab w:val="left" w:pos="1889"/>
        </w:tabs>
        <w:ind w:left="1889" w:hanging="420"/>
      </w:pPr>
      <w:rPr>
        <w:rFonts w:hint="eastAsia"/>
      </w:rPr>
    </w:lvl>
    <w:lvl w:ilvl="3" w:tentative="0">
      <w:start w:val="1"/>
      <w:numFmt w:val="decimal"/>
      <w:lvlText w:val="%4."/>
      <w:lvlJc w:val="left"/>
      <w:pPr>
        <w:tabs>
          <w:tab w:val="left" w:pos="2309"/>
        </w:tabs>
        <w:ind w:left="2309" w:hanging="420"/>
      </w:pPr>
      <w:rPr>
        <w:rFonts w:hint="eastAsia"/>
      </w:rPr>
    </w:lvl>
    <w:lvl w:ilvl="4" w:tentative="0">
      <w:start w:val="1"/>
      <w:numFmt w:val="lowerLetter"/>
      <w:lvlText w:val="%5)"/>
      <w:lvlJc w:val="left"/>
      <w:pPr>
        <w:tabs>
          <w:tab w:val="left" w:pos="2729"/>
        </w:tabs>
        <w:ind w:left="2729" w:hanging="420"/>
      </w:pPr>
      <w:rPr>
        <w:rFonts w:hint="eastAsia"/>
      </w:rPr>
    </w:lvl>
    <w:lvl w:ilvl="5" w:tentative="0">
      <w:start w:val="1"/>
      <w:numFmt w:val="lowerRoman"/>
      <w:lvlText w:val="%6."/>
      <w:lvlJc w:val="right"/>
      <w:pPr>
        <w:tabs>
          <w:tab w:val="left" w:pos="3149"/>
        </w:tabs>
        <w:ind w:left="3149" w:hanging="420"/>
      </w:pPr>
      <w:rPr>
        <w:rFonts w:hint="eastAsia"/>
      </w:rPr>
    </w:lvl>
    <w:lvl w:ilvl="6" w:tentative="0">
      <w:start w:val="1"/>
      <w:numFmt w:val="decimal"/>
      <w:lvlText w:val="%7."/>
      <w:lvlJc w:val="left"/>
      <w:pPr>
        <w:tabs>
          <w:tab w:val="left" w:pos="3569"/>
        </w:tabs>
        <w:ind w:left="3569" w:hanging="420"/>
      </w:pPr>
      <w:rPr>
        <w:rFonts w:hint="eastAsia"/>
      </w:rPr>
    </w:lvl>
    <w:lvl w:ilvl="7" w:tentative="0">
      <w:start w:val="1"/>
      <w:numFmt w:val="lowerLetter"/>
      <w:lvlText w:val="%8)"/>
      <w:lvlJc w:val="left"/>
      <w:pPr>
        <w:tabs>
          <w:tab w:val="left" w:pos="3989"/>
        </w:tabs>
        <w:ind w:left="3989" w:hanging="420"/>
      </w:pPr>
      <w:rPr>
        <w:rFonts w:hint="eastAsia"/>
      </w:rPr>
    </w:lvl>
    <w:lvl w:ilvl="8" w:tentative="0">
      <w:start w:val="1"/>
      <w:numFmt w:val="lowerRoman"/>
      <w:lvlText w:val="%9."/>
      <w:lvlJc w:val="right"/>
      <w:pPr>
        <w:tabs>
          <w:tab w:val="left" w:pos="4409"/>
        </w:tabs>
        <w:ind w:left="4409" w:hanging="420"/>
      </w:pPr>
      <w:rPr>
        <w:rFonts w:hint="eastAsia"/>
      </w:rPr>
    </w:lvl>
  </w:abstractNum>
  <w:abstractNum w:abstractNumId="3">
    <w:nsid w:val="1ED86BA4"/>
    <w:multiLevelType w:val="multilevel"/>
    <w:tmpl w:val="1ED86BA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F9E4C1A"/>
    <w:multiLevelType w:val="multilevel"/>
    <w:tmpl w:val="3F9E4C1A"/>
    <w:lvl w:ilvl="0" w:tentative="0">
      <w:start w:val="1"/>
      <w:numFmt w:val="bullet"/>
      <w:pStyle w:val="46"/>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5">
    <w:nsid w:val="441A4FB5"/>
    <w:multiLevelType w:val="multilevel"/>
    <w:tmpl w:val="441A4FB5"/>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42F77BD"/>
    <w:multiLevelType w:val="multilevel"/>
    <w:tmpl w:val="442F77BD"/>
    <w:lvl w:ilvl="0" w:tentative="0">
      <w:start w:val="1"/>
      <w:numFmt w:val="decimal"/>
      <w:lvlText w:val="1.%1"/>
      <w:lvlJc w:val="left"/>
      <w:pPr>
        <w:tabs>
          <w:tab w:val="left" w:pos="644"/>
        </w:tabs>
        <w:ind w:left="644" w:hanging="420"/>
      </w:pPr>
      <w:rPr>
        <w:rFonts w:hint="eastAsia"/>
      </w:rPr>
    </w:lvl>
    <w:lvl w:ilvl="1" w:tentative="0">
      <w:start w:val="1"/>
      <w:numFmt w:val="bullet"/>
      <w:pStyle w:val="66"/>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61E0D03"/>
    <w:multiLevelType w:val="multilevel"/>
    <w:tmpl w:val="561E0D03"/>
    <w:lvl w:ilvl="0" w:tentative="0">
      <w:start w:val="1"/>
      <w:numFmt w:val="bullet"/>
      <w:pStyle w:val="6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57E06AFF"/>
    <w:multiLevelType w:val="multilevel"/>
    <w:tmpl w:val="57E06AFF"/>
    <w:lvl w:ilvl="0" w:tentative="0">
      <w:start w:val="1"/>
      <w:numFmt w:val="decimal"/>
      <w:pStyle w:val="2"/>
      <w:lvlText w:val="%1."/>
      <w:lvlJc w:val="left"/>
      <w:pPr>
        <w:ind w:left="420" w:hanging="420"/>
      </w:pPr>
      <w:rPr>
        <w:rFonts w:hint="default" w:ascii="Times New Roman" w:hAnsi="Times New Roman" w:eastAsia="宋体"/>
        <w:b/>
        <w:i w:val="0"/>
        <w:sz w:val="44"/>
      </w:rPr>
    </w:lvl>
    <w:lvl w:ilvl="1" w:tentative="0">
      <w:start w:val="1"/>
      <w:numFmt w:val="decimal"/>
      <w:pStyle w:val="3"/>
      <w:lvlText w:val="%1.%2."/>
      <w:lvlJc w:val="left"/>
      <w:pPr>
        <w:ind w:left="567" w:hanging="567"/>
      </w:pPr>
      <w:rPr>
        <w:rFonts w:hint="default" w:ascii="Times New Roman" w:hAnsi="Times New Roman" w:eastAsia="宋体"/>
        <w:b/>
        <w:i w:val="0"/>
        <w:sz w:val="32"/>
      </w:rPr>
    </w:lvl>
    <w:lvl w:ilvl="2" w:tentative="0">
      <w:start w:val="1"/>
      <w:numFmt w:val="decimal"/>
      <w:pStyle w:val="4"/>
      <w:lvlText w:val="%1.%2.%3."/>
      <w:lvlJc w:val="left"/>
      <w:pPr>
        <w:ind w:left="709" w:hanging="709"/>
      </w:pPr>
      <w:rPr>
        <w:rFonts w:hint="default" w:ascii="Times New Roman" w:hAnsi="Times New Roman" w:eastAsia="宋体"/>
        <w:b/>
        <w:i w:val="0"/>
        <w:sz w:val="30"/>
      </w:rPr>
    </w:lvl>
    <w:lvl w:ilvl="3" w:tentative="0">
      <w:start w:val="1"/>
      <w:numFmt w:val="decimal"/>
      <w:pStyle w:val="5"/>
      <w:lvlText w:val="%1.%2.%3.%4."/>
      <w:lvlJc w:val="left"/>
      <w:pPr>
        <w:ind w:left="851" w:hanging="851"/>
      </w:pPr>
      <w:rPr>
        <w:rFonts w:hint="default" w:ascii="Times New Roman" w:hAnsi="Times New Roman" w:eastAsia="宋体"/>
        <w:b/>
        <w:i w:val="0"/>
        <w:sz w:val="28"/>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abstractNum w:abstractNumId="9">
    <w:nsid w:val="5EED00A8"/>
    <w:multiLevelType w:val="multilevel"/>
    <w:tmpl w:val="5EED00A8"/>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B1E2699"/>
    <w:multiLevelType w:val="multilevel"/>
    <w:tmpl w:val="6B1E26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943297"/>
    <w:multiLevelType w:val="multilevel"/>
    <w:tmpl w:val="7B943297"/>
    <w:lvl w:ilvl="0" w:tentative="0">
      <w:start w:val="1"/>
      <w:numFmt w:val="bullet"/>
      <w:lvlText w:val=""/>
      <w:lvlJc w:val="left"/>
      <w:pPr>
        <w:ind w:left="920" w:hanging="440"/>
      </w:pPr>
      <w:rPr>
        <w:rFonts w:hint="default" w:ascii="Wingdings" w:hAnsi="Wingdings"/>
      </w:rPr>
    </w:lvl>
    <w:lvl w:ilvl="1" w:tentative="0">
      <w:start w:val="1"/>
      <w:numFmt w:val="decimal"/>
      <w:lvlText w:val="%2."/>
      <w:lvlJc w:val="left"/>
      <w:pPr>
        <w:ind w:left="1360" w:hanging="440"/>
      </w:p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8"/>
  </w:num>
  <w:num w:numId="2">
    <w:abstractNumId w:val="1"/>
  </w:num>
  <w:num w:numId="3">
    <w:abstractNumId w:val="4"/>
  </w:num>
  <w:num w:numId="4">
    <w:abstractNumId w:val="2"/>
  </w:num>
  <w:num w:numId="5">
    <w:abstractNumId w:val="7"/>
  </w:num>
  <w:num w:numId="6">
    <w:abstractNumId w:val="6"/>
  </w:num>
  <w:num w:numId="7">
    <w:abstractNumId w:val="11"/>
  </w:num>
  <w:num w:numId="8">
    <w:abstractNumId w:val="0"/>
  </w:num>
  <w:num w:numId="9">
    <w:abstractNumId w:val="9"/>
  </w:num>
  <w:num w:numId="10">
    <w:abstractNumId w:val="10"/>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E1465D"/>
    <w:rsid w:val="00001098"/>
    <w:rsid w:val="00001EA7"/>
    <w:rsid w:val="0000258E"/>
    <w:rsid w:val="00007345"/>
    <w:rsid w:val="00027164"/>
    <w:rsid w:val="000271E1"/>
    <w:rsid w:val="0005443F"/>
    <w:rsid w:val="00055156"/>
    <w:rsid w:val="0007104E"/>
    <w:rsid w:val="000741A7"/>
    <w:rsid w:val="00075B09"/>
    <w:rsid w:val="00080170"/>
    <w:rsid w:val="00085016"/>
    <w:rsid w:val="00086E86"/>
    <w:rsid w:val="00092073"/>
    <w:rsid w:val="000937CB"/>
    <w:rsid w:val="000B2F55"/>
    <w:rsid w:val="000B4D0B"/>
    <w:rsid w:val="000B6B0E"/>
    <w:rsid w:val="000B6D43"/>
    <w:rsid w:val="000C2498"/>
    <w:rsid w:val="000D2BA8"/>
    <w:rsid w:val="000E39BC"/>
    <w:rsid w:val="000E4B6E"/>
    <w:rsid w:val="000F2DD4"/>
    <w:rsid w:val="000F4CB3"/>
    <w:rsid w:val="000F79AF"/>
    <w:rsid w:val="0010183C"/>
    <w:rsid w:val="00107A4E"/>
    <w:rsid w:val="00107FC2"/>
    <w:rsid w:val="00112239"/>
    <w:rsid w:val="001152B7"/>
    <w:rsid w:val="0011762A"/>
    <w:rsid w:val="00120248"/>
    <w:rsid w:val="001220F5"/>
    <w:rsid w:val="00122B6C"/>
    <w:rsid w:val="00141466"/>
    <w:rsid w:val="00156CEC"/>
    <w:rsid w:val="001603FD"/>
    <w:rsid w:val="00160FAE"/>
    <w:rsid w:val="00162F88"/>
    <w:rsid w:val="00171FF7"/>
    <w:rsid w:val="001758CF"/>
    <w:rsid w:val="00182415"/>
    <w:rsid w:val="00182BDF"/>
    <w:rsid w:val="00193EF5"/>
    <w:rsid w:val="001976A1"/>
    <w:rsid w:val="001A7855"/>
    <w:rsid w:val="001B4F9F"/>
    <w:rsid w:val="001C5E9B"/>
    <w:rsid w:val="001C75D1"/>
    <w:rsid w:val="001D381F"/>
    <w:rsid w:val="001D54DB"/>
    <w:rsid w:val="001D5A30"/>
    <w:rsid w:val="001E1371"/>
    <w:rsid w:val="001F12CD"/>
    <w:rsid w:val="00202256"/>
    <w:rsid w:val="00204C34"/>
    <w:rsid w:val="0021492C"/>
    <w:rsid w:val="00214BFB"/>
    <w:rsid w:val="002170AF"/>
    <w:rsid w:val="002178B1"/>
    <w:rsid w:val="0022051F"/>
    <w:rsid w:val="00221A6C"/>
    <w:rsid w:val="00237228"/>
    <w:rsid w:val="00245386"/>
    <w:rsid w:val="0025741B"/>
    <w:rsid w:val="00280427"/>
    <w:rsid w:val="00283839"/>
    <w:rsid w:val="002908A8"/>
    <w:rsid w:val="00293226"/>
    <w:rsid w:val="0029538E"/>
    <w:rsid w:val="002973E9"/>
    <w:rsid w:val="002A1868"/>
    <w:rsid w:val="002A295C"/>
    <w:rsid w:val="002A7851"/>
    <w:rsid w:val="002C3BEB"/>
    <w:rsid w:val="002C5DE3"/>
    <w:rsid w:val="002C75F9"/>
    <w:rsid w:val="002D102E"/>
    <w:rsid w:val="002D1179"/>
    <w:rsid w:val="002D1191"/>
    <w:rsid w:val="002D3528"/>
    <w:rsid w:val="002D4F0F"/>
    <w:rsid w:val="002E05B5"/>
    <w:rsid w:val="002E3E40"/>
    <w:rsid w:val="002E59FA"/>
    <w:rsid w:val="002F15C2"/>
    <w:rsid w:val="002F286D"/>
    <w:rsid w:val="002F7AFA"/>
    <w:rsid w:val="0031781C"/>
    <w:rsid w:val="003245E7"/>
    <w:rsid w:val="00326E1C"/>
    <w:rsid w:val="00341280"/>
    <w:rsid w:val="00343FFA"/>
    <w:rsid w:val="00345958"/>
    <w:rsid w:val="00354BF6"/>
    <w:rsid w:val="00355A89"/>
    <w:rsid w:val="00357ECA"/>
    <w:rsid w:val="003664FA"/>
    <w:rsid w:val="0037087D"/>
    <w:rsid w:val="003724B0"/>
    <w:rsid w:val="00374347"/>
    <w:rsid w:val="00375ECD"/>
    <w:rsid w:val="00382C68"/>
    <w:rsid w:val="00383D92"/>
    <w:rsid w:val="003909B4"/>
    <w:rsid w:val="0039316F"/>
    <w:rsid w:val="00393CFB"/>
    <w:rsid w:val="003A3882"/>
    <w:rsid w:val="003A5327"/>
    <w:rsid w:val="003B2836"/>
    <w:rsid w:val="003C39F9"/>
    <w:rsid w:val="003C5C0F"/>
    <w:rsid w:val="003C5F15"/>
    <w:rsid w:val="003D1D37"/>
    <w:rsid w:val="003D3FB6"/>
    <w:rsid w:val="003E0D83"/>
    <w:rsid w:val="003E0FBC"/>
    <w:rsid w:val="003F57EA"/>
    <w:rsid w:val="00402502"/>
    <w:rsid w:val="00413EE6"/>
    <w:rsid w:val="004429DD"/>
    <w:rsid w:val="004515EC"/>
    <w:rsid w:val="004543CF"/>
    <w:rsid w:val="00456090"/>
    <w:rsid w:val="00456729"/>
    <w:rsid w:val="00460633"/>
    <w:rsid w:val="00463812"/>
    <w:rsid w:val="004638D2"/>
    <w:rsid w:val="00473C57"/>
    <w:rsid w:val="00473C78"/>
    <w:rsid w:val="00477276"/>
    <w:rsid w:val="00487673"/>
    <w:rsid w:val="004904EB"/>
    <w:rsid w:val="00494A75"/>
    <w:rsid w:val="004A0C40"/>
    <w:rsid w:val="004A4EE5"/>
    <w:rsid w:val="004A5F33"/>
    <w:rsid w:val="004B0F63"/>
    <w:rsid w:val="004B1095"/>
    <w:rsid w:val="004B23E7"/>
    <w:rsid w:val="004B3BC0"/>
    <w:rsid w:val="004C23F2"/>
    <w:rsid w:val="004C5E49"/>
    <w:rsid w:val="004C6155"/>
    <w:rsid w:val="004D3EC4"/>
    <w:rsid w:val="004D4A88"/>
    <w:rsid w:val="004E64D0"/>
    <w:rsid w:val="004F7417"/>
    <w:rsid w:val="00501D5F"/>
    <w:rsid w:val="00506386"/>
    <w:rsid w:val="005112AE"/>
    <w:rsid w:val="00517490"/>
    <w:rsid w:val="00517FD6"/>
    <w:rsid w:val="005213FD"/>
    <w:rsid w:val="00522A60"/>
    <w:rsid w:val="00523F96"/>
    <w:rsid w:val="0053055F"/>
    <w:rsid w:val="005308B1"/>
    <w:rsid w:val="00536E9E"/>
    <w:rsid w:val="00542087"/>
    <w:rsid w:val="00560242"/>
    <w:rsid w:val="00563663"/>
    <w:rsid w:val="005672AC"/>
    <w:rsid w:val="00582CDD"/>
    <w:rsid w:val="00590B91"/>
    <w:rsid w:val="0059105C"/>
    <w:rsid w:val="005A4AF0"/>
    <w:rsid w:val="005A7FFD"/>
    <w:rsid w:val="005B0F85"/>
    <w:rsid w:val="005C3143"/>
    <w:rsid w:val="005C4734"/>
    <w:rsid w:val="005E5EFB"/>
    <w:rsid w:val="005F1CAC"/>
    <w:rsid w:val="005F26FE"/>
    <w:rsid w:val="005F41E0"/>
    <w:rsid w:val="0060205F"/>
    <w:rsid w:val="00602A90"/>
    <w:rsid w:val="0060593F"/>
    <w:rsid w:val="0060646F"/>
    <w:rsid w:val="00611AB4"/>
    <w:rsid w:val="00615008"/>
    <w:rsid w:val="00626386"/>
    <w:rsid w:val="00633A41"/>
    <w:rsid w:val="006340E9"/>
    <w:rsid w:val="00637FA7"/>
    <w:rsid w:val="00652A76"/>
    <w:rsid w:val="00653C9F"/>
    <w:rsid w:val="006554DD"/>
    <w:rsid w:val="0067535A"/>
    <w:rsid w:val="00680E62"/>
    <w:rsid w:val="0068521F"/>
    <w:rsid w:val="006903FC"/>
    <w:rsid w:val="0069195F"/>
    <w:rsid w:val="00692BAB"/>
    <w:rsid w:val="006A031C"/>
    <w:rsid w:val="006A1739"/>
    <w:rsid w:val="006A38A3"/>
    <w:rsid w:val="006C10EC"/>
    <w:rsid w:val="006D2481"/>
    <w:rsid w:val="006D76E9"/>
    <w:rsid w:val="006E5825"/>
    <w:rsid w:val="006F38CB"/>
    <w:rsid w:val="006F5071"/>
    <w:rsid w:val="006F57EB"/>
    <w:rsid w:val="006F67A8"/>
    <w:rsid w:val="00701354"/>
    <w:rsid w:val="00701EDD"/>
    <w:rsid w:val="007023F9"/>
    <w:rsid w:val="007050F9"/>
    <w:rsid w:val="00705DCD"/>
    <w:rsid w:val="00707AE6"/>
    <w:rsid w:val="007129A7"/>
    <w:rsid w:val="00715CDF"/>
    <w:rsid w:val="0072309F"/>
    <w:rsid w:val="00725CE2"/>
    <w:rsid w:val="00725FC9"/>
    <w:rsid w:val="00727823"/>
    <w:rsid w:val="00730865"/>
    <w:rsid w:val="00740D0D"/>
    <w:rsid w:val="00740F40"/>
    <w:rsid w:val="00754567"/>
    <w:rsid w:val="00764A60"/>
    <w:rsid w:val="007746F7"/>
    <w:rsid w:val="0077543F"/>
    <w:rsid w:val="0077680A"/>
    <w:rsid w:val="00777E69"/>
    <w:rsid w:val="00782439"/>
    <w:rsid w:val="0078332F"/>
    <w:rsid w:val="00783765"/>
    <w:rsid w:val="00785248"/>
    <w:rsid w:val="0079085C"/>
    <w:rsid w:val="00793574"/>
    <w:rsid w:val="007974E6"/>
    <w:rsid w:val="007D69A8"/>
    <w:rsid w:val="007E2CB0"/>
    <w:rsid w:val="007E2D4E"/>
    <w:rsid w:val="007F6DFC"/>
    <w:rsid w:val="0080141F"/>
    <w:rsid w:val="0080656D"/>
    <w:rsid w:val="0080796D"/>
    <w:rsid w:val="0081087B"/>
    <w:rsid w:val="008128DC"/>
    <w:rsid w:val="00820265"/>
    <w:rsid w:val="00827C30"/>
    <w:rsid w:val="00832B55"/>
    <w:rsid w:val="008363A4"/>
    <w:rsid w:val="00836960"/>
    <w:rsid w:val="00842109"/>
    <w:rsid w:val="0084223C"/>
    <w:rsid w:val="00845B71"/>
    <w:rsid w:val="00845FE6"/>
    <w:rsid w:val="00850FA1"/>
    <w:rsid w:val="0085614F"/>
    <w:rsid w:val="0086496D"/>
    <w:rsid w:val="00865256"/>
    <w:rsid w:val="00866609"/>
    <w:rsid w:val="00867969"/>
    <w:rsid w:val="00887792"/>
    <w:rsid w:val="00893B00"/>
    <w:rsid w:val="00895587"/>
    <w:rsid w:val="008A277D"/>
    <w:rsid w:val="008B0CB9"/>
    <w:rsid w:val="008C3214"/>
    <w:rsid w:val="008E330C"/>
    <w:rsid w:val="008E6F5B"/>
    <w:rsid w:val="008F1A89"/>
    <w:rsid w:val="0090303B"/>
    <w:rsid w:val="00907431"/>
    <w:rsid w:val="0091187C"/>
    <w:rsid w:val="00914AC3"/>
    <w:rsid w:val="0092367C"/>
    <w:rsid w:val="0093101F"/>
    <w:rsid w:val="00931D12"/>
    <w:rsid w:val="00932376"/>
    <w:rsid w:val="00932D21"/>
    <w:rsid w:val="0093742E"/>
    <w:rsid w:val="0094276E"/>
    <w:rsid w:val="009439F3"/>
    <w:rsid w:val="00951078"/>
    <w:rsid w:val="0095176E"/>
    <w:rsid w:val="00956AB8"/>
    <w:rsid w:val="00956FE8"/>
    <w:rsid w:val="009573A9"/>
    <w:rsid w:val="009620E7"/>
    <w:rsid w:val="00963A29"/>
    <w:rsid w:val="00966830"/>
    <w:rsid w:val="00974B1B"/>
    <w:rsid w:val="00976FE8"/>
    <w:rsid w:val="00985053"/>
    <w:rsid w:val="00991F3F"/>
    <w:rsid w:val="009A1042"/>
    <w:rsid w:val="009A55BA"/>
    <w:rsid w:val="009B1D8F"/>
    <w:rsid w:val="009B213C"/>
    <w:rsid w:val="009B3DED"/>
    <w:rsid w:val="009B4EFE"/>
    <w:rsid w:val="009B6598"/>
    <w:rsid w:val="009C5B28"/>
    <w:rsid w:val="009D6B51"/>
    <w:rsid w:val="009E0543"/>
    <w:rsid w:val="009E3E18"/>
    <w:rsid w:val="00A032D0"/>
    <w:rsid w:val="00A058AA"/>
    <w:rsid w:val="00A05999"/>
    <w:rsid w:val="00A10277"/>
    <w:rsid w:val="00A15752"/>
    <w:rsid w:val="00A17402"/>
    <w:rsid w:val="00A30A20"/>
    <w:rsid w:val="00A40675"/>
    <w:rsid w:val="00A50C26"/>
    <w:rsid w:val="00A54416"/>
    <w:rsid w:val="00A56035"/>
    <w:rsid w:val="00A67481"/>
    <w:rsid w:val="00A67F11"/>
    <w:rsid w:val="00A708DE"/>
    <w:rsid w:val="00A733E8"/>
    <w:rsid w:val="00A767BA"/>
    <w:rsid w:val="00A83499"/>
    <w:rsid w:val="00AA2EB9"/>
    <w:rsid w:val="00AA4C01"/>
    <w:rsid w:val="00AB1353"/>
    <w:rsid w:val="00AB2467"/>
    <w:rsid w:val="00AB3B02"/>
    <w:rsid w:val="00AD3848"/>
    <w:rsid w:val="00AD64F7"/>
    <w:rsid w:val="00AD6B9E"/>
    <w:rsid w:val="00AE06B7"/>
    <w:rsid w:val="00AE31FA"/>
    <w:rsid w:val="00AF288B"/>
    <w:rsid w:val="00B067B9"/>
    <w:rsid w:val="00B07578"/>
    <w:rsid w:val="00B10669"/>
    <w:rsid w:val="00B1125D"/>
    <w:rsid w:val="00B314C0"/>
    <w:rsid w:val="00B473CC"/>
    <w:rsid w:val="00B54A51"/>
    <w:rsid w:val="00B55088"/>
    <w:rsid w:val="00B552A1"/>
    <w:rsid w:val="00B55385"/>
    <w:rsid w:val="00B55E71"/>
    <w:rsid w:val="00B562ED"/>
    <w:rsid w:val="00B57DEB"/>
    <w:rsid w:val="00B60FE8"/>
    <w:rsid w:val="00B623A3"/>
    <w:rsid w:val="00B73CE0"/>
    <w:rsid w:val="00B762CF"/>
    <w:rsid w:val="00B834D0"/>
    <w:rsid w:val="00B93C18"/>
    <w:rsid w:val="00BA5238"/>
    <w:rsid w:val="00BB1B9B"/>
    <w:rsid w:val="00BB5BB9"/>
    <w:rsid w:val="00BC283B"/>
    <w:rsid w:val="00BC52B5"/>
    <w:rsid w:val="00BC69F1"/>
    <w:rsid w:val="00BD3FB8"/>
    <w:rsid w:val="00BD7FB7"/>
    <w:rsid w:val="00BE3EBA"/>
    <w:rsid w:val="00BE4798"/>
    <w:rsid w:val="00BF12A0"/>
    <w:rsid w:val="00C128D9"/>
    <w:rsid w:val="00C15CDA"/>
    <w:rsid w:val="00C24C06"/>
    <w:rsid w:val="00C27FDD"/>
    <w:rsid w:val="00C333B2"/>
    <w:rsid w:val="00C40CBE"/>
    <w:rsid w:val="00C412AE"/>
    <w:rsid w:val="00C41ED2"/>
    <w:rsid w:val="00C51BC7"/>
    <w:rsid w:val="00C5635C"/>
    <w:rsid w:val="00C674AD"/>
    <w:rsid w:val="00C73873"/>
    <w:rsid w:val="00C744CD"/>
    <w:rsid w:val="00C81294"/>
    <w:rsid w:val="00C81AD1"/>
    <w:rsid w:val="00CA0B43"/>
    <w:rsid w:val="00CA1649"/>
    <w:rsid w:val="00CA304A"/>
    <w:rsid w:val="00CA487B"/>
    <w:rsid w:val="00CA67DE"/>
    <w:rsid w:val="00CB2C45"/>
    <w:rsid w:val="00CC147F"/>
    <w:rsid w:val="00CF3E02"/>
    <w:rsid w:val="00CF6CDB"/>
    <w:rsid w:val="00D0030A"/>
    <w:rsid w:val="00D0236E"/>
    <w:rsid w:val="00D04C6D"/>
    <w:rsid w:val="00D073A4"/>
    <w:rsid w:val="00D12033"/>
    <w:rsid w:val="00D12B74"/>
    <w:rsid w:val="00D14A87"/>
    <w:rsid w:val="00D2147F"/>
    <w:rsid w:val="00D22E3E"/>
    <w:rsid w:val="00D248E8"/>
    <w:rsid w:val="00D27C5C"/>
    <w:rsid w:val="00D316CE"/>
    <w:rsid w:val="00D44442"/>
    <w:rsid w:val="00D5152C"/>
    <w:rsid w:val="00D535C3"/>
    <w:rsid w:val="00D53E60"/>
    <w:rsid w:val="00D56B77"/>
    <w:rsid w:val="00D64814"/>
    <w:rsid w:val="00D64FE9"/>
    <w:rsid w:val="00D650E7"/>
    <w:rsid w:val="00D67A63"/>
    <w:rsid w:val="00D76CF0"/>
    <w:rsid w:val="00D804FD"/>
    <w:rsid w:val="00D820F7"/>
    <w:rsid w:val="00D920D4"/>
    <w:rsid w:val="00D95651"/>
    <w:rsid w:val="00DA3342"/>
    <w:rsid w:val="00DB7B31"/>
    <w:rsid w:val="00DC26CD"/>
    <w:rsid w:val="00DC53F9"/>
    <w:rsid w:val="00DD4511"/>
    <w:rsid w:val="00DD67B7"/>
    <w:rsid w:val="00DE198C"/>
    <w:rsid w:val="00DF3072"/>
    <w:rsid w:val="00DF3388"/>
    <w:rsid w:val="00DF33E8"/>
    <w:rsid w:val="00E02484"/>
    <w:rsid w:val="00E107B5"/>
    <w:rsid w:val="00E12799"/>
    <w:rsid w:val="00E1465D"/>
    <w:rsid w:val="00E16A46"/>
    <w:rsid w:val="00E37260"/>
    <w:rsid w:val="00E432FA"/>
    <w:rsid w:val="00E51D7A"/>
    <w:rsid w:val="00E551D2"/>
    <w:rsid w:val="00E56158"/>
    <w:rsid w:val="00E5643C"/>
    <w:rsid w:val="00E571E6"/>
    <w:rsid w:val="00E5789B"/>
    <w:rsid w:val="00E63B94"/>
    <w:rsid w:val="00E766A1"/>
    <w:rsid w:val="00E7686D"/>
    <w:rsid w:val="00E825EE"/>
    <w:rsid w:val="00E85F5A"/>
    <w:rsid w:val="00E901CD"/>
    <w:rsid w:val="00E9593A"/>
    <w:rsid w:val="00E96C7D"/>
    <w:rsid w:val="00EA23B6"/>
    <w:rsid w:val="00EA5CA2"/>
    <w:rsid w:val="00EB5E20"/>
    <w:rsid w:val="00EB6006"/>
    <w:rsid w:val="00EB6AE7"/>
    <w:rsid w:val="00EB7A10"/>
    <w:rsid w:val="00EC23B8"/>
    <w:rsid w:val="00EC35AE"/>
    <w:rsid w:val="00EC50AA"/>
    <w:rsid w:val="00ED3A6D"/>
    <w:rsid w:val="00F1534F"/>
    <w:rsid w:val="00F15B0B"/>
    <w:rsid w:val="00F30BA9"/>
    <w:rsid w:val="00F42ABC"/>
    <w:rsid w:val="00F520A6"/>
    <w:rsid w:val="00F523D0"/>
    <w:rsid w:val="00F56DE0"/>
    <w:rsid w:val="00F57609"/>
    <w:rsid w:val="00F607F7"/>
    <w:rsid w:val="00F80305"/>
    <w:rsid w:val="00F82AFD"/>
    <w:rsid w:val="00F82EE2"/>
    <w:rsid w:val="00F85B7D"/>
    <w:rsid w:val="00FB129C"/>
    <w:rsid w:val="00FB16F1"/>
    <w:rsid w:val="00FB3E08"/>
    <w:rsid w:val="00FB422D"/>
    <w:rsid w:val="00FB4F4A"/>
    <w:rsid w:val="00FB5904"/>
    <w:rsid w:val="00FB593A"/>
    <w:rsid w:val="00FB6323"/>
    <w:rsid w:val="00FC3294"/>
    <w:rsid w:val="00FC53E2"/>
    <w:rsid w:val="00FF1DDA"/>
    <w:rsid w:val="00FF5B05"/>
    <w:rsid w:val="0595085E"/>
    <w:rsid w:val="05D90543"/>
    <w:rsid w:val="0DF90060"/>
    <w:rsid w:val="19BB08C0"/>
    <w:rsid w:val="1D171F28"/>
    <w:rsid w:val="1F4075B3"/>
    <w:rsid w:val="2E5945A7"/>
    <w:rsid w:val="3F3415C5"/>
    <w:rsid w:val="5E1E0A54"/>
    <w:rsid w:val="76953618"/>
    <w:rsid w:val="EBDF7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jc w:val="both"/>
    </w:pPr>
    <w:rPr>
      <w:rFonts w:ascii="Times New Roman" w:hAnsi="Times New Roman" w:eastAsia="宋体" w:cstheme="minorBidi"/>
      <w:kern w:val="2"/>
      <w:sz w:val="21"/>
      <w:szCs w:val="22"/>
      <w:lang w:val="en-US" w:eastAsia="zh-CN" w:bidi="ar-SA"/>
    </w:rPr>
  </w:style>
  <w:style w:type="paragraph" w:styleId="2">
    <w:name w:val="heading 1"/>
    <w:next w:val="1"/>
    <w:link w:val="31"/>
    <w:qFormat/>
    <w:uiPriority w:val="0"/>
    <w:pPr>
      <w:keepNext/>
      <w:keepLines/>
      <w:pageBreakBefore/>
      <w:numPr>
        <w:ilvl w:val="0"/>
        <w:numId w:val="1"/>
      </w:numPr>
      <w:spacing w:before="340" w:after="330" w:line="578" w:lineRule="auto"/>
      <w:outlineLvl w:val="0"/>
    </w:pPr>
    <w:rPr>
      <w:rFonts w:ascii="Times New Roman" w:hAnsi="Times New Roman" w:eastAsia="宋体" w:cstheme="minorBidi"/>
      <w:b/>
      <w:bCs/>
      <w:kern w:val="44"/>
      <w:sz w:val="44"/>
      <w:szCs w:val="44"/>
      <w:lang w:val="en-US" w:eastAsia="zh-CN" w:bidi="ar-SA"/>
    </w:rPr>
  </w:style>
  <w:style w:type="paragraph" w:styleId="3">
    <w:name w:val="heading 2"/>
    <w:basedOn w:val="1"/>
    <w:next w:val="1"/>
    <w:link w:val="32"/>
    <w:unhideWhenUsed/>
    <w:qFormat/>
    <w:uiPriority w:val="0"/>
    <w:pPr>
      <w:keepNext/>
      <w:keepLines/>
      <w:numPr>
        <w:ilvl w:val="1"/>
        <w:numId w:val="1"/>
      </w:numPr>
      <w:spacing w:before="260" w:after="260" w:line="416" w:lineRule="auto"/>
      <w:outlineLvl w:val="1"/>
    </w:pPr>
    <w:rPr>
      <w:rFonts w:cstheme="majorBidi"/>
      <w:b/>
      <w:bCs/>
      <w:sz w:val="32"/>
      <w:szCs w:val="32"/>
    </w:rPr>
  </w:style>
  <w:style w:type="paragraph" w:styleId="4">
    <w:name w:val="heading 3"/>
    <w:basedOn w:val="1"/>
    <w:next w:val="1"/>
    <w:link w:val="33"/>
    <w:unhideWhenUsed/>
    <w:qFormat/>
    <w:uiPriority w:val="0"/>
    <w:pPr>
      <w:keepNext/>
      <w:keepLines/>
      <w:numPr>
        <w:ilvl w:val="2"/>
        <w:numId w:val="1"/>
      </w:numPr>
      <w:spacing w:before="260" w:after="260" w:line="416" w:lineRule="auto"/>
      <w:outlineLvl w:val="2"/>
    </w:pPr>
    <w:rPr>
      <w:b/>
      <w:bCs/>
      <w:sz w:val="30"/>
      <w:szCs w:val="32"/>
    </w:rPr>
  </w:style>
  <w:style w:type="paragraph" w:styleId="5">
    <w:name w:val="heading 4"/>
    <w:basedOn w:val="1"/>
    <w:next w:val="1"/>
    <w:link w:val="34"/>
    <w:unhideWhenUsed/>
    <w:qFormat/>
    <w:uiPriority w:val="0"/>
    <w:pPr>
      <w:keepNext/>
      <w:keepLines/>
      <w:numPr>
        <w:ilvl w:val="3"/>
        <w:numId w:val="1"/>
      </w:numPr>
      <w:spacing w:before="280" w:after="290" w:line="376" w:lineRule="auto"/>
      <w:outlineLvl w:val="3"/>
    </w:pPr>
    <w:rPr>
      <w:rFonts w:cstheme="majorBidi"/>
      <w:b/>
      <w:bCs/>
      <w:sz w:val="28"/>
      <w:szCs w:val="28"/>
    </w:rPr>
  </w:style>
  <w:style w:type="paragraph" w:styleId="6">
    <w:name w:val="heading 5"/>
    <w:basedOn w:val="1"/>
    <w:next w:val="1"/>
    <w:link w:val="35"/>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unhideWhenUsed/>
    <w:qFormat/>
    <w:uiPriority w:val="9"/>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8">
    <w:name w:val="heading 7"/>
    <w:basedOn w:val="1"/>
    <w:next w:val="1"/>
    <w:link w:val="37"/>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62"/>
    <w:autoRedefine/>
    <w:semiHidden/>
    <w:unhideWhenUsed/>
    <w:qFormat/>
    <w:uiPriority w:val="99"/>
    <w:pPr>
      <w:jc w:val="left"/>
    </w:pPr>
  </w:style>
  <w:style w:type="paragraph" w:styleId="12">
    <w:name w:val="toc 3"/>
    <w:basedOn w:val="1"/>
    <w:next w:val="1"/>
    <w:autoRedefine/>
    <w:unhideWhenUsed/>
    <w:qFormat/>
    <w:uiPriority w:val="39"/>
    <w:pPr>
      <w:ind w:left="840" w:leftChars="400"/>
    </w:pPr>
  </w:style>
  <w:style w:type="paragraph" w:styleId="13">
    <w:name w:val="Balloon Text"/>
    <w:basedOn w:val="1"/>
    <w:link w:val="50"/>
    <w:autoRedefine/>
    <w:semiHidden/>
    <w:unhideWhenUsed/>
    <w:qFormat/>
    <w:uiPriority w:val="99"/>
    <w:pPr>
      <w:spacing w:line="240" w:lineRule="auto"/>
    </w:pPr>
    <w:rPr>
      <w:sz w:val="18"/>
      <w:szCs w:val="18"/>
    </w:rPr>
  </w:style>
  <w:style w:type="paragraph" w:styleId="14">
    <w:name w:val="footer"/>
    <w:basedOn w:val="1"/>
    <w:link w:val="27"/>
    <w:autoRedefine/>
    <w:unhideWhenUsed/>
    <w:qFormat/>
    <w:uiPriority w:val="99"/>
    <w:pPr>
      <w:tabs>
        <w:tab w:val="center" w:pos="4153"/>
        <w:tab w:val="right" w:pos="8306"/>
      </w:tabs>
      <w:snapToGrid w:val="0"/>
      <w:jc w:val="left"/>
    </w:pPr>
    <w:rPr>
      <w:sz w:val="18"/>
      <w:szCs w:val="18"/>
    </w:rPr>
  </w:style>
  <w:style w:type="paragraph" w:styleId="15">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paragraph" w:styleId="18">
    <w:name w:val="annotation subject"/>
    <w:basedOn w:val="11"/>
    <w:next w:val="11"/>
    <w:link w:val="63"/>
    <w:autoRedefine/>
    <w:semiHidden/>
    <w:unhideWhenUsed/>
    <w:qFormat/>
    <w:uiPriority w:val="99"/>
    <w:rPr>
      <w:b/>
      <w:bCs/>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Professional"/>
    <w:basedOn w:val="19"/>
    <w:autoRedefine/>
    <w:semiHidden/>
    <w:unhideWhenUsed/>
    <w:qFormat/>
    <w:uiPriority w:val="99"/>
    <w:pPr>
      <w:widowControl w:val="0"/>
      <w:spacing w:line="360" w:lineRule="auto"/>
      <w:ind w:firstLine="4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3">
    <w:name w:val="FollowedHyperlink"/>
    <w:basedOn w:val="22"/>
    <w:autoRedefine/>
    <w:semiHidden/>
    <w:unhideWhenUsed/>
    <w:qFormat/>
    <w:uiPriority w:val="99"/>
    <w:rPr>
      <w:color w:val="954F72" w:themeColor="followedHyperlink"/>
      <w:u w:val="single"/>
      <w14:textFill>
        <w14:solidFill>
          <w14:schemeClr w14:val="folHlink"/>
        </w14:solidFill>
      </w14:textFill>
    </w:rPr>
  </w:style>
  <w:style w:type="character" w:styleId="24">
    <w:name w:val="Hyperlink"/>
    <w:basedOn w:val="22"/>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2"/>
    <w:autoRedefine/>
    <w:semiHidden/>
    <w:unhideWhenUsed/>
    <w:qFormat/>
    <w:uiPriority w:val="99"/>
    <w:rPr>
      <w:sz w:val="21"/>
      <w:szCs w:val="21"/>
    </w:rPr>
  </w:style>
  <w:style w:type="character" w:customStyle="1" w:styleId="26">
    <w:name w:val="页眉 字符"/>
    <w:basedOn w:val="22"/>
    <w:link w:val="15"/>
    <w:autoRedefine/>
    <w:qFormat/>
    <w:uiPriority w:val="99"/>
    <w:rPr>
      <w:sz w:val="18"/>
      <w:szCs w:val="18"/>
    </w:rPr>
  </w:style>
  <w:style w:type="character" w:customStyle="1" w:styleId="27">
    <w:name w:val="页脚 字符"/>
    <w:basedOn w:val="22"/>
    <w:link w:val="14"/>
    <w:autoRedefine/>
    <w:qFormat/>
    <w:uiPriority w:val="99"/>
    <w:rPr>
      <w:sz w:val="18"/>
      <w:szCs w:val="18"/>
    </w:rPr>
  </w:style>
  <w:style w:type="paragraph" w:customStyle="1" w:styleId="28">
    <w:name w:val="页面标题"/>
    <w:basedOn w:val="1"/>
    <w:next w:val="1"/>
    <w:autoRedefine/>
    <w:qFormat/>
    <w:uiPriority w:val="0"/>
    <w:pPr>
      <w:widowControl/>
      <w:ind w:firstLine="0"/>
      <w:jc w:val="center"/>
    </w:pPr>
    <w:rPr>
      <w:rFonts w:ascii="宋体" w:hAnsi="宋体" w:cs="宋体"/>
      <w:b/>
      <w:bCs/>
      <w:kern w:val="0"/>
      <w:sz w:val="44"/>
      <w:szCs w:val="44"/>
    </w:rPr>
  </w:style>
  <w:style w:type="paragraph" w:customStyle="1" w:styleId="29">
    <w:name w:val="表头"/>
    <w:basedOn w:val="1"/>
    <w:autoRedefine/>
    <w:qFormat/>
    <w:uiPriority w:val="0"/>
    <w:pPr>
      <w:widowControl/>
      <w:spacing w:line="320" w:lineRule="exact"/>
      <w:jc w:val="center"/>
    </w:pPr>
    <w:rPr>
      <w:rFonts w:cs="Times New Roman"/>
      <w:b/>
      <w:bCs/>
      <w:snapToGrid w:val="0"/>
      <w:color w:val="FFFFFF" w:themeColor="background1"/>
      <w:kern w:val="0"/>
      <w:szCs w:val="18"/>
      <w14:textFill>
        <w14:solidFill>
          <w14:schemeClr w14:val="bg1"/>
        </w14:solidFill>
      </w14:textFill>
    </w:rPr>
  </w:style>
  <w:style w:type="paragraph" w:customStyle="1" w:styleId="30">
    <w:name w:val="表内容"/>
    <w:basedOn w:val="1"/>
    <w:autoRedefine/>
    <w:qFormat/>
    <w:uiPriority w:val="0"/>
    <w:pPr>
      <w:widowControl/>
      <w:spacing w:line="240" w:lineRule="auto"/>
      <w:ind w:firstLine="0"/>
      <w:jc w:val="left"/>
    </w:pPr>
    <w:rPr>
      <w:rFonts w:cs="Times New Roman"/>
      <w:snapToGrid w:val="0"/>
      <w:kern w:val="0"/>
      <w:szCs w:val="24"/>
    </w:rPr>
  </w:style>
  <w:style w:type="character" w:customStyle="1" w:styleId="31">
    <w:name w:val="标题 1 字符"/>
    <w:basedOn w:val="22"/>
    <w:link w:val="2"/>
    <w:autoRedefine/>
    <w:qFormat/>
    <w:uiPriority w:val="0"/>
    <w:rPr>
      <w:rFonts w:ascii="Times New Roman" w:hAnsi="Times New Roman" w:eastAsia="宋体"/>
      <w:b/>
      <w:bCs/>
      <w:kern w:val="44"/>
      <w:sz w:val="44"/>
      <w:szCs w:val="44"/>
    </w:rPr>
  </w:style>
  <w:style w:type="character" w:customStyle="1" w:styleId="32">
    <w:name w:val="标题 2 字符"/>
    <w:basedOn w:val="22"/>
    <w:link w:val="3"/>
    <w:autoRedefine/>
    <w:qFormat/>
    <w:uiPriority w:val="0"/>
    <w:rPr>
      <w:rFonts w:ascii="Times New Roman" w:hAnsi="Times New Roman" w:eastAsia="宋体" w:cstheme="majorBidi"/>
      <w:b/>
      <w:bCs/>
      <w:sz w:val="32"/>
      <w:szCs w:val="32"/>
    </w:rPr>
  </w:style>
  <w:style w:type="character" w:customStyle="1" w:styleId="33">
    <w:name w:val="标题 3 字符"/>
    <w:basedOn w:val="22"/>
    <w:link w:val="4"/>
    <w:autoRedefine/>
    <w:qFormat/>
    <w:uiPriority w:val="9"/>
    <w:rPr>
      <w:rFonts w:eastAsia="宋体"/>
      <w:b/>
      <w:bCs/>
      <w:sz w:val="30"/>
      <w:szCs w:val="32"/>
    </w:rPr>
  </w:style>
  <w:style w:type="character" w:customStyle="1" w:styleId="34">
    <w:name w:val="标题 4 字符"/>
    <w:basedOn w:val="22"/>
    <w:link w:val="5"/>
    <w:autoRedefine/>
    <w:qFormat/>
    <w:uiPriority w:val="0"/>
    <w:rPr>
      <w:rFonts w:ascii="Times New Roman" w:hAnsi="Times New Roman" w:eastAsia="宋体" w:cstheme="majorBidi"/>
      <w:b/>
      <w:bCs/>
      <w:sz w:val="28"/>
      <w:szCs w:val="28"/>
    </w:rPr>
  </w:style>
  <w:style w:type="character" w:customStyle="1" w:styleId="35">
    <w:name w:val="标题 5 字符"/>
    <w:basedOn w:val="22"/>
    <w:link w:val="6"/>
    <w:autoRedefine/>
    <w:qFormat/>
    <w:uiPriority w:val="9"/>
    <w:rPr>
      <w:rFonts w:eastAsia="宋体"/>
      <w:b/>
      <w:bCs/>
      <w:sz w:val="28"/>
      <w:szCs w:val="28"/>
    </w:rPr>
  </w:style>
  <w:style w:type="character" w:customStyle="1" w:styleId="36">
    <w:name w:val="标题 6 字符"/>
    <w:basedOn w:val="22"/>
    <w:link w:val="7"/>
    <w:autoRedefine/>
    <w:qFormat/>
    <w:uiPriority w:val="9"/>
    <w:rPr>
      <w:rFonts w:eastAsia="宋体" w:asciiTheme="majorHAnsi" w:hAnsiTheme="majorHAnsi" w:cstheme="majorBidi"/>
      <w:b/>
      <w:bCs/>
      <w:sz w:val="24"/>
      <w:szCs w:val="24"/>
    </w:rPr>
  </w:style>
  <w:style w:type="character" w:customStyle="1" w:styleId="37">
    <w:name w:val="标题 7 字符"/>
    <w:basedOn w:val="22"/>
    <w:link w:val="8"/>
    <w:autoRedefine/>
    <w:semiHidden/>
    <w:qFormat/>
    <w:uiPriority w:val="9"/>
    <w:rPr>
      <w:b/>
      <w:bCs/>
      <w:sz w:val="24"/>
      <w:szCs w:val="24"/>
    </w:rPr>
  </w:style>
  <w:style w:type="character" w:customStyle="1" w:styleId="38">
    <w:name w:val="标题 8 字符"/>
    <w:basedOn w:val="22"/>
    <w:link w:val="9"/>
    <w:autoRedefine/>
    <w:semiHidden/>
    <w:qFormat/>
    <w:uiPriority w:val="9"/>
    <w:rPr>
      <w:rFonts w:asciiTheme="majorHAnsi" w:hAnsiTheme="majorHAnsi" w:eastAsiaTheme="majorEastAsia" w:cstheme="majorBidi"/>
      <w:sz w:val="24"/>
      <w:szCs w:val="24"/>
    </w:rPr>
  </w:style>
  <w:style w:type="character" w:customStyle="1" w:styleId="39">
    <w:name w:val="标题 9 字符"/>
    <w:basedOn w:val="22"/>
    <w:link w:val="10"/>
    <w:autoRedefine/>
    <w:qFormat/>
    <w:uiPriority w:val="9"/>
    <w:rPr>
      <w:rFonts w:asciiTheme="majorHAnsi" w:hAnsiTheme="majorHAnsi" w:eastAsiaTheme="majorEastAsia" w:cstheme="majorBidi"/>
      <w:szCs w:val="21"/>
    </w:rPr>
  </w:style>
  <w:style w:type="paragraph" w:styleId="40">
    <w:name w:val="List Paragraph"/>
    <w:basedOn w:val="1"/>
    <w:autoRedefine/>
    <w:qFormat/>
    <w:uiPriority w:val="34"/>
    <w:pPr>
      <w:ind w:firstLine="200" w:firstLineChars="200"/>
    </w:pPr>
  </w:style>
  <w:style w:type="character" w:customStyle="1" w:styleId="41">
    <w:name w:val="菜单命令"/>
    <w:autoRedefine/>
    <w:qFormat/>
    <w:uiPriority w:val="0"/>
    <w:rPr>
      <w:rFonts w:ascii="Times New Roman" w:hAnsi="Times New Roman" w:eastAsia="宋体"/>
      <w:b/>
      <w:bCs/>
      <w:sz w:val="21"/>
      <w:szCs w:val="21"/>
    </w:rPr>
  </w:style>
  <w:style w:type="paragraph" w:customStyle="1" w:styleId="42">
    <w:name w:val="项目列举2级"/>
    <w:basedOn w:val="1"/>
    <w:autoRedefine/>
    <w:qFormat/>
    <w:uiPriority w:val="0"/>
    <w:pPr>
      <w:widowControl/>
      <w:numPr>
        <w:ilvl w:val="0"/>
        <w:numId w:val="2"/>
      </w:numPr>
      <w:jc w:val="left"/>
    </w:pPr>
    <w:rPr>
      <w:rFonts w:cs="宋体"/>
      <w:kern w:val="0"/>
      <w:szCs w:val="21"/>
    </w:rPr>
  </w:style>
  <w:style w:type="character" w:customStyle="1" w:styleId="43">
    <w:name w:val="命令参数"/>
    <w:autoRedefine/>
    <w:qFormat/>
    <w:uiPriority w:val="0"/>
    <w:rPr>
      <w:rFonts w:ascii="Times New Roman" w:hAnsi="Times New Roman" w:eastAsia="宋体"/>
      <w:sz w:val="21"/>
      <w:szCs w:val="21"/>
    </w:rPr>
  </w:style>
  <w:style w:type="character" w:customStyle="1" w:styleId="44">
    <w:name w:val="命令参数斜体"/>
    <w:autoRedefine/>
    <w:qFormat/>
    <w:uiPriority w:val="0"/>
    <w:rPr>
      <w:rFonts w:ascii="Times New Roman" w:hAnsi="Times New Roman" w:eastAsia="宋体"/>
      <w:i/>
      <w:sz w:val="21"/>
    </w:rPr>
  </w:style>
  <w:style w:type="character" w:customStyle="1" w:styleId="45">
    <w:name w:val="命令名和动作"/>
    <w:autoRedefine/>
    <w:qFormat/>
    <w:uiPriority w:val="0"/>
    <w:rPr>
      <w:rFonts w:ascii="Times New Roman" w:hAnsi="Times New Roman" w:eastAsia="黑体"/>
      <w:b/>
      <w:sz w:val="21"/>
      <w:szCs w:val="21"/>
    </w:rPr>
  </w:style>
  <w:style w:type="paragraph" w:customStyle="1" w:styleId="46">
    <w:name w:val="章节项目"/>
    <w:basedOn w:val="1"/>
    <w:autoRedefine/>
    <w:qFormat/>
    <w:uiPriority w:val="0"/>
    <w:pPr>
      <w:widowControl/>
      <w:numPr>
        <w:ilvl w:val="0"/>
        <w:numId w:val="3"/>
      </w:numPr>
      <w:jc w:val="left"/>
    </w:pPr>
    <w:rPr>
      <w:rFonts w:cs="宋体"/>
      <w:kern w:val="0"/>
      <w:szCs w:val="21"/>
    </w:rPr>
  </w:style>
  <w:style w:type="paragraph" w:customStyle="1" w:styleId="47">
    <w:name w:val="步骤下图片"/>
    <w:basedOn w:val="1"/>
    <w:autoRedefine/>
    <w:qFormat/>
    <w:uiPriority w:val="0"/>
    <w:pPr>
      <w:ind w:left="1276" w:firstLine="0"/>
    </w:pPr>
  </w:style>
  <w:style w:type="paragraph" w:customStyle="1" w:styleId="48">
    <w:name w:val="代码示例"/>
    <w:basedOn w:val="1"/>
    <w:link w:val="49"/>
    <w:autoRedefine/>
    <w:qFormat/>
    <w:uiPriority w:val="0"/>
    <w:pPr>
      <w:spacing w:line="240" w:lineRule="auto"/>
      <w:ind w:firstLine="0"/>
    </w:pPr>
    <w:rPr>
      <w:rFonts w:ascii="Courier New" w:hAnsi="Courier New"/>
      <w:color w:val="000000" w:themeColor="text1"/>
      <w:sz w:val="20"/>
      <w:szCs w:val="21"/>
      <w14:textFill>
        <w14:solidFill>
          <w14:schemeClr w14:val="tx1"/>
        </w14:solidFill>
      </w14:textFill>
    </w:rPr>
  </w:style>
  <w:style w:type="character" w:customStyle="1" w:styleId="49">
    <w:name w:val="代码示例 Char"/>
    <w:basedOn w:val="22"/>
    <w:link w:val="48"/>
    <w:autoRedefine/>
    <w:qFormat/>
    <w:uiPriority w:val="0"/>
    <w:rPr>
      <w:rFonts w:ascii="Courier New" w:hAnsi="Courier New" w:eastAsia="宋体"/>
      <w:color w:val="000000" w:themeColor="text1"/>
      <w:sz w:val="20"/>
      <w:szCs w:val="21"/>
      <w14:textFill>
        <w14:solidFill>
          <w14:schemeClr w14:val="tx1"/>
        </w14:solidFill>
      </w14:textFill>
    </w:rPr>
  </w:style>
  <w:style w:type="character" w:customStyle="1" w:styleId="50">
    <w:name w:val="批注框文本 字符"/>
    <w:basedOn w:val="22"/>
    <w:link w:val="13"/>
    <w:autoRedefine/>
    <w:semiHidden/>
    <w:qFormat/>
    <w:uiPriority w:val="99"/>
    <w:rPr>
      <w:rFonts w:eastAsia="宋体"/>
      <w:sz w:val="18"/>
      <w:szCs w:val="18"/>
    </w:rPr>
  </w:style>
  <w:style w:type="paragraph" w:customStyle="1" w:styleId="51">
    <w:name w:val="1级无序号"/>
    <w:basedOn w:val="2"/>
    <w:next w:val="1"/>
    <w:autoRedefine/>
    <w:qFormat/>
    <w:uiPriority w:val="0"/>
    <w:pPr>
      <w:numPr>
        <w:numId w:val="0"/>
      </w:numPr>
    </w:pPr>
  </w:style>
  <w:style w:type="paragraph" w:customStyle="1" w:styleId="52">
    <w:name w:val="2级无序号"/>
    <w:basedOn w:val="3"/>
    <w:next w:val="1"/>
    <w:autoRedefine/>
    <w:qFormat/>
    <w:uiPriority w:val="0"/>
    <w:pPr>
      <w:numPr>
        <w:ilvl w:val="0"/>
        <w:numId w:val="0"/>
      </w:numPr>
    </w:pPr>
  </w:style>
  <w:style w:type="paragraph" w:customStyle="1" w:styleId="53">
    <w:name w:val="TOC 标题1"/>
    <w:basedOn w:val="2"/>
    <w:next w:val="1"/>
    <w:autoRedefine/>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4">
    <w:name w:val="引导语（仅适用于制作模板）"/>
    <w:basedOn w:val="1"/>
    <w:autoRedefine/>
    <w:qFormat/>
    <w:uiPriority w:val="0"/>
    <w:pPr>
      <w:ind w:firstLine="200" w:firstLineChars="200"/>
    </w:pPr>
    <w:rPr>
      <w:i/>
      <w:color w:val="7F7F7F" w:themeColor="background1" w:themeShade="80"/>
    </w:rPr>
  </w:style>
  <w:style w:type="table" w:customStyle="1" w:styleId="55">
    <w:name w:val="Table"/>
    <w:basedOn w:val="21"/>
    <w:autoRedefine/>
    <w:qFormat/>
    <w:uiPriority w:val="0"/>
    <w:pPr>
      <w:spacing w:line="240" w:lineRule="auto"/>
      <w:ind w:firstLine="0"/>
      <w:jc w:val="left"/>
    </w:pPr>
    <w:rPr>
      <w:rFonts w:ascii="Times New Roman" w:hAnsi="Times New Roman" w:eastAsia="宋体"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56">
    <w:name w:val="操作小节"/>
    <w:basedOn w:val="1"/>
    <w:next w:val="1"/>
    <w:qFormat/>
    <w:uiPriority w:val="0"/>
    <w:pPr>
      <w:spacing w:before="156" w:beforeLines="50" w:after="156" w:afterLines="50"/>
      <w:ind w:firstLine="0"/>
      <w:outlineLvl w:val="3"/>
    </w:pPr>
    <w:rPr>
      <w:b/>
      <w:sz w:val="28"/>
    </w:rPr>
  </w:style>
  <w:style w:type="paragraph" w:customStyle="1" w:styleId="57">
    <w:name w:val="Step"/>
    <w:qFormat/>
    <w:uiPriority w:val="0"/>
    <w:pPr>
      <w:numPr>
        <w:ilvl w:val="0"/>
        <w:numId w:val="4"/>
      </w:numPr>
      <w:tabs>
        <w:tab w:val="left" w:pos="1701"/>
      </w:tabs>
      <w:topLinePunct/>
      <w:spacing w:line="360" w:lineRule="auto"/>
    </w:pPr>
    <w:rPr>
      <w:rFonts w:ascii="Times New Roman" w:hAnsi="Times New Roman" w:eastAsia="宋体" w:cstheme="minorBidi"/>
      <w:snapToGrid w:val="0"/>
      <w:sz w:val="21"/>
      <w:szCs w:val="22"/>
      <w:lang w:val="en-US" w:eastAsia="zh-CN" w:bidi="ar-SA"/>
    </w:rPr>
  </w:style>
  <w:style w:type="paragraph" w:customStyle="1" w:styleId="58">
    <w:name w:val="标题五"/>
    <w:basedOn w:val="1"/>
    <w:next w:val="1"/>
    <w:qFormat/>
    <w:uiPriority w:val="0"/>
    <w:pPr>
      <w:spacing w:before="200" w:after="200" w:line="240" w:lineRule="auto"/>
      <w:ind w:firstLine="0"/>
      <w:outlineLvl w:val="4"/>
    </w:pPr>
    <w:rPr>
      <w:b/>
      <w:sz w:val="24"/>
    </w:rPr>
  </w:style>
  <w:style w:type="paragraph" w:customStyle="1" w:styleId="59">
    <w:name w:val="正文下图片"/>
    <w:basedOn w:val="1"/>
    <w:next w:val="1"/>
    <w:qFormat/>
    <w:uiPriority w:val="0"/>
    <w:pPr>
      <w:ind w:left="420" w:firstLine="0"/>
    </w:pPr>
    <w:rPr>
      <w:color w:val="FF0000"/>
    </w:rPr>
  </w:style>
  <w:style w:type="paragraph" w:customStyle="1" w:styleId="60">
    <w:name w:val="项目列举1级"/>
    <w:qFormat/>
    <w:uiPriority w:val="0"/>
    <w:pPr>
      <w:numPr>
        <w:ilvl w:val="0"/>
        <w:numId w:val="5"/>
      </w:numPr>
      <w:spacing w:before="50" w:beforeLines="50" w:after="50" w:afterLines="50"/>
      <w:ind w:left="834" w:hanging="414"/>
      <w:jc w:val="both"/>
    </w:pPr>
    <w:rPr>
      <w:rFonts w:ascii="Times New Roman" w:hAnsi="Times New Roman" w:eastAsia="宋体" w:cstheme="minorBidi"/>
      <w:b/>
      <w:kern w:val="2"/>
      <w:sz w:val="24"/>
      <w:szCs w:val="22"/>
      <w:lang w:val="en-US" w:eastAsia="zh-CN" w:bidi="ar-SA"/>
    </w:rPr>
  </w:style>
  <w:style w:type="paragraph" w:customStyle="1" w:styleId="61">
    <w:name w:val="项目列举下图片"/>
    <w:basedOn w:val="1"/>
    <w:qFormat/>
    <w:uiPriority w:val="0"/>
    <w:pPr>
      <w:ind w:left="868" w:firstLine="0"/>
    </w:pPr>
    <w:rPr>
      <w:color w:val="FF0000"/>
    </w:rPr>
  </w:style>
  <w:style w:type="character" w:customStyle="1" w:styleId="62">
    <w:name w:val="批注文字 字符"/>
    <w:basedOn w:val="22"/>
    <w:link w:val="11"/>
    <w:semiHidden/>
    <w:qFormat/>
    <w:uiPriority w:val="99"/>
    <w:rPr>
      <w:rFonts w:ascii="Times New Roman" w:hAnsi="Times New Roman" w:eastAsia="宋体"/>
    </w:rPr>
  </w:style>
  <w:style w:type="character" w:customStyle="1" w:styleId="63">
    <w:name w:val="批注主题 字符"/>
    <w:basedOn w:val="62"/>
    <w:link w:val="18"/>
    <w:semiHidden/>
    <w:qFormat/>
    <w:uiPriority w:val="99"/>
    <w:rPr>
      <w:rFonts w:ascii="Times New Roman" w:hAnsi="Times New Roman" w:eastAsia="宋体"/>
      <w:b/>
      <w:bCs/>
    </w:rPr>
  </w:style>
  <w:style w:type="paragraph" w:customStyle="1" w:styleId="64">
    <w:name w:val="附录"/>
    <w:basedOn w:val="51"/>
    <w:next w:val="1"/>
    <w:qFormat/>
    <w:uiPriority w:val="0"/>
  </w:style>
  <w:style w:type="paragraph" w:customStyle="1" w:styleId="65">
    <w:name w:val="样式 首行缩进:  2 字符5"/>
    <w:basedOn w:val="1"/>
    <w:qFormat/>
    <w:uiPriority w:val="0"/>
    <w:pPr>
      <w:spacing w:before="120"/>
      <w:ind w:firstLine="480" w:firstLineChars="200"/>
    </w:pPr>
    <w:rPr>
      <w:rFonts w:cs="宋体"/>
      <w:sz w:val="24"/>
      <w:szCs w:val="20"/>
    </w:rPr>
  </w:style>
  <w:style w:type="paragraph" w:customStyle="1" w:styleId="66">
    <w:name w:val="无标题并列项"/>
    <w:qFormat/>
    <w:uiPriority w:val="0"/>
    <w:pPr>
      <w:numPr>
        <w:ilvl w:val="1"/>
        <w:numId w:val="6"/>
      </w:numPr>
      <w:spacing w:line="360" w:lineRule="auto"/>
    </w:pPr>
    <w:rPr>
      <w:rFonts w:ascii="Arial" w:hAnsi="Arial" w:eastAsia="宋体" w:cs="Arial"/>
      <w:sz w:val="24"/>
      <w:szCs w:val="24"/>
      <w:lang w:val="en-US" w:eastAsia="zh-CN" w:bidi="ar-SA"/>
    </w:rPr>
  </w:style>
  <w:style w:type="paragraph" w:customStyle="1" w:styleId="67">
    <w:name w:val="图题"/>
    <w:basedOn w:val="1"/>
    <w:next w:val="1"/>
    <w:qFormat/>
    <w:uiPriority w:val="0"/>
    <w:pPr>
      <w:ind w:firstLine="482" w:firstLineChars="200"/>
      <w:jc w:val="center"/>
    </w:pPr>
    <w:rPr>
      <w:rFonts w:ascii="Calibri" w:hAnsi="Calibri" w:cs="Times New Roman"/>
      <w:b/>
      <w:sz w:val="24"/>
      <w:szCs w:val="21"/>
    </w:rPr>
  </w:style>
  <w:style w:type="character" w:customStyle="1" w:styleId="68">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1.bin"/><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360政企</Company>
  <Pages>20</Pages>
  <Words>1218</Words>
  <Characters>6944</Characters>
  <Lines>57</Lines>
  <Paragraphs>16</Paragraphs>
  <TotalTime>0</TotalTime>
  <ScaleCrop>false</ScaleCrop>
  <LinksUpToDate>false</LinksUpToDate>
  <CharactersWithSpaces>8146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2023-10-11T19:47:00Z</dcterms:created>
  <dc:creator>lin</dc:creator>
  <cp:lastModifiedBy>微默</cp:lastModifiedBy>
  <cp:lastPrinted>2020-04-30T01:33:00Z</cp:lastPrinted>
  <dcterms:modified xsi:type="dcterms:W3CDTF">2024-08-19T02:08:14Z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9E1EE1E949A44514ABE12BE7A20FAFED_13</vt:lpwstr>
  </property>
</Properties>
</file>