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61312" behindDoc="0" locked="0" layoutInCell="1" allowOverlap="1">
            <wp:simplePos x="0" y="0"/>
            <wp:positionH relativeFrom="column">
              <wp:posOffset>-876300</wp:posOffset>
            </wp:positionH>
            <wp:positionV relativeFrom="paragraph">
              <wp:posOffset>-293370</wp:posOffset>
            </wp:positionV>
            <wp:extent cx="2058035" cy="498475"/>
            <wp:effectExtent l="0" t="0" r="12065" b="9525"/>
            <wp:wrapNone/>
            <wp:docPr id="3" name="图片 3" descr="数字安全LOGO（sloga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数字安全LOGO（slogan）_03"/>
                    <pic:cNvPicPr>
                      <a:picLocks noChangeAspect="1"/>
                    </pic:cNvPicPr>
                  </pic:nvPicPr>
                  <pic:blipFill>
                    <a:blip r:embed="rId10"/>
                    <a:stretch>
                      <a:fillRect/>
                    </a:stretch>
                  </pic:blipFill>
                  <pic:spPr>
                    <a:xfrm>
                      <a:off x="0" y="0"/>
                      <a:ext cx="2058035" cy="498475"/>
                    </a:xfrm>
                    <a:prstGeom prst="rect">
                      <a:avLst/>
                    </a:prstGeom>
                    <a:noFill/>
                    <a:ln>
                      <a:noFill/>
                    </a:ln>
                  </pic:spPr>
                </pic:pic>
              </a:graphicData>
            </a:graphic>
          </wp:anchor>
        </w:drawing>
      </w:r>
      <w:r>
        <w:drawing>
          <wp:anchor distT="0" distB="0" distL="114300" distR="114300" simplePos="0" relativeHeight="251660288" behindDoc="1" locked="0" layoutInCell="1" allowOverlap="1">
            <wp:simplePos x="0" y="0"/>
            <wp:positionH relativeFrom="margin">
              <wp:posOffset>-1134745</wp:posOffset>
            </wp:positionH>
            <wp:positionV relativeFrom="paragraph">
              <wp:posOffset>-931545</wp:posOffset>
            </wp:positionV>
            <wp:extent cx="7543165" cy="10717530"/>
            <wp:effectExtent l="0" t="0" r="635" b="1270"/>
            <wp:wrapNone/>
            <wp:docPr id="1" name="图片 1" descr="C:/Users/liwei23/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iwei23/Desktop/图片1.png图片1"/>
                    <pic:cNvPicPr>
                      <a:picLocks noChangeAspect="1"/>
                    </pic:cNvPicPr>
                  </pic:nvPicPr>
                  <pic:blipFill>
                    <a:blip r:embed="rId11"/>
                    <a:srcRect l="225" r="225"/>
                    <a:stretch>
                      <a:fillRect/>
                    </a:stretch>
                  </pic:blipFill>
                  <pic:spPr>
                    <a:xfrm>
                      <a:off x="0" y="0"/>
                      <a:ext cx="7543165" cy="10717530"/>
                    </a:xfrm>
                    <a:prstGeom prst="rect">
                      <a:avLst/>
                    </a:prstGeom>
                  </pic:spPr>
                </pic:pic>
              </a:graphicData>
            </a:graphic>
          </wp:anchor>
        </w:drawing>
      </w:r>
    </w:p>
    <w:p/>
    <w:p>
      <w:pPr>
        <w:widowControl/>
        <w:jc w:val="left"/>
      </w:pPr>
      <w:r>
        <mc:AlternateContent>
          <mc:Choice Requires="wps">
            <w:drawing>
              <wp:anchor distT="45720" distB="45720" distL="114300" distR="114300" simplePos="0" relativeHeight="251659264" behindDoc="0" locked="0" layoutInCell="1" allowOverlap="1">
                <wp:simplePos x="0" y="0"/>
                <wp:positionH relativeFrom="margin">
                  <wp:posOffset>-1123315</wp:posOffset>
                </wp:positionH>
                <wp:positionV relativeFrom="paragraph">
                  <wp:posOffset>3359785</wp:posOffset>
                </wp:positionV>
                <wp:extent cx="7537450"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537450" cy="1404620"/>
                        </a:xfrm>
                        <a:prstGeom prst="rect">
                          <a:avLst/>
                        </a:prstGeom>
                        <a:noFill/>
                        <a:ln w="9525">
                          <a:noFill/>
                          <a:miter lim="800000"/>
                        </a:ln>
                      </wps:spPr>
                      <wps:txbx>
                        <w:txbxContent>
                          <w:p>
                            <w:pPr>
                              <w:jc w:val="center"/>
                              <w:rPr>
                                <w:rFonts w:ascii="黑体" w:hAnsi="黑体" w:eastAsia="黑体"/>
                                <w:b/>
                                <w:color w:val="FFFFFF" w:themeColor="background1"/>
                                <w:sz w:val="84"/>
                                <w:szCs w:val="84"/>
                                <w14:textFill>
                                  <w14:solidFill>
                                    <w14:schemeClr w14:val="bg1"/>
                                  </w14:solidFill>
                                </w14:textFill>
                              </w:rPr>
                            </w:pPr>
                            <w:r>
                              <w:rPr>
                                <w:rFonts w:ascii="黑体" w:hAnsi="黑体" w:eastAsia="黑体"/>
                                <w:b/>
                                <w:color w:val="FFFFFF" w:themeColor="background1"/>
                                <w:sz w:val="84"/>
                                <w:szCs w:val="84"/>
                                <w14:textFill>
                                  <w14:solidFill>
                                    <w14:schemeClr w14:val="bg1"/>
                                  </w14:solidFill>
                                </w14:textFill>
                              </w:rPr>
                              <w:t>360</w:t>
                            </w:r>
                            <w:r>
                              <w:rPr>
                                <w:rFonts w:hint="eastAsia" w:ascii="黑体" w:hAnsi="黑体" w:eastAsia="黑体"/>
                                <w:b/>
                                <w:color w:val="FFFFFF" w:themeColor="background1"/>
                                <w:sz w:val="84"/>
                                <w:szCs w:val="84"/>
                                <w14:textFill>
                                  <w14:solidFill>
                                    <w14:schemeClr w14:val="bg1"/>
                                  </w14:solidFill>
                                </w14:textFill>
                              </w:rPr>
                              <w:t>运维安全管理</w:t>
                            </w:r>
                            <w:r>
                              <w:rPr>
                                <w:rFonts w:ascii="黑体" w:hAnsi="黑体" w:eastAsia="黑体"/>
                                <w:b/>
                                <w:color w:val="FFFFFF" w:themeColor="background1"/>
                                <w:sz w:val="84"/>
                                <w:szCs w:val="84"/>
                                <w14:textFill>
                                  <w14:solidFill>
                                    <w14:schemeClr w14:val="bg1"/>
                                  </w14:solidFill>
                                </w14:textFill>
                              </w:rPr>
                              <w:t>系统</w:t>
                            </w:r>
                          </w:p>
                          <w:p>
                            <w:pPr>
                              <w:jc w:val="center"/>
                              <w:rPr>
                                <w:rFonts w:ascii="黑体" w:hAnsi="黑体" w:eastAsia="黑体"/>
                                <w:b/>
                                <w:color w:val="FFFFFF" w:themeColor="background1"/>
                                <w:sz w:val="84"/>
                                <w:szCs w:val="84"/>
                                <w14:textFill>
                                  <w14:solidFill>
                                    <w14:schemeClr w14:val="bg1"/>
                                  </w14:solidFill>
                                </w14:textFill>
                              </w:rPr>
                            </w:pPr>
                            <w:r>
                              <w:rPr>
                                <w:rFonts w:hint="eastAsia" w:ascii="黑体" w:hAnsi="黑体" w:eastAsia="黑体"/>
                                <w:b/>
                                <w:color w:val="FFFFFF" w:themeColor="background1"/>
                                <w:sz w:val="84"/>
                                <w:szCs w:val="84"/>
                                <w14:textFill>
                                  <w14:solidFill>
                                    <w14:schemeClr w14:val="bg1"/>
                                  </w14:solidFill>
                                </w14:textFill>
                              </w:rPr>
                              <w:t>产品解决方案</w:t>
                            </w:r>
                          </w:p>
                          <w:p>
                            <w:pPr>
                              <w:jc w:val="center"/>
                              <w:rPr>
                                <w:rFonts w:ascii="黑体" w:hAnsi="黑体" w:eastAsia="黑体"/>
                                <w:b/>
                                <w:color w:val="FFFFFF" w:themeColor="background1"/>
                                <w:sz w:val="24"/>
                                <w:szCs w:val="24"/>
                                <w14:textFill>
                                  <w14:solidFill>
                                    <w14:schemeClr w14:val="bg1"/>
                                  </w14:solidFill>
                                </w14:textFill>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88.45pt;margin-top:264.55pt;height:110.6pt;width:593.5pt;mso-position-horizontal-relative:margin;mso-wrap-distance-bottom:3.6pt;mso-wrap-distance-left:9pt;mso-wrap-distance-right:9pt;mso-wrap-distance-top:3.6pt;z-index:251659264;mso-width-relative:page;mso-height-relative:margin;mso-height-percent:200;" filled="f" stroked="f" coordsize="21600,21600" o:gfxdata="UEsDBAoAAAAAAIdO4kAAAAAAAAAAAAAAAAAEAAAAZHJzL1BLAwQUAAAACACHTuJAn/x9eNoAAAAN&#10;AQAADwAAAGRycy9kb3ducmV2LnhtbE2PwU7DMAyG70i8Q2QkblvSoq2s1J0Q2saRMSrOWRPaisaJ&#10;kqwbb092Avlk+dPv76/WFzOySfswWELI5gKYptaqgTqE5mM7ewQWoiQlR0sa4UcHWNe3N5UslT3T&#10;u54OsWMphEIpEfoYXcl5aHttZJhbpyndvqw3MqbVd1x5eU7hZuS5EEtu5EDpQy+dful1+304GQQX&#10;3a549W/75812Es3nrsmHboN4f5eJJ2BRX+IfDFf9pA51cjraE6nARoRZVixXiUVY5KsM2BURaYAd&#10;EYqFeABeV/x/i/oXUEsDBBQAAAAIAIdO4kBoma/aKAIAACwEAAAOAAAAZHJzL2Uyb0RvYy54bWyt&#10;U82O0zAQviPxDpbvNElJt7tR09WyVRHS8iMtPIDrOI1F7DG226Q8ALwBJy7cea4+B2MnW6rlsgdy&#10;iGyP55v5vvm8uO5VS/bCOgm6pNkkpURoDpXU25J++rh+cUmJ80xXrAUtSnoQjl4vnz9bdKYQU2ig&#10;rYQlCKJd0ZmSNt6bIkkcb4RibgJGaAzWYBXzuLXbpLKsQ3TVJtM0vUg6sJWxwIVzeLoagnREtE8B&#10;hLqWXKyA75TQfkC1omUeKblGGkeXsdu6Fty/r2snPGlLikx9/GMRXG/CP1kuWLG1zDSSjy2wp7Tw&#10;iJNiUmPRE9SKeUZ2Vv4DpSS34KD2Ew4qGYhERZBFlj7S5r5hRkQuKLUzJ9Hd/4Pl7/YfLJFVSafZ&#10;nBLNFI78+OP78efv469vZBoE6owr8N69wZu+fwU92iaSdeYO+GdHNNw2TG/FjbXQNYJV2GAWMpOz&#10;1AHHBZBN9xYqrMN2HiJQX1sV1EM9CKLjcA6n4YjeE46H89nLeT7DEMdYlqf5xTSOL2HFQ7qxzr8W&#10;oEhYlNTi9CM82985H9phxcOVUE3DWrZtdECrSVfSq9l0FhPOIkp6tHsrVUkv0/BFXqxo9UgvMBq4&#10;+X7Tj3JtoDogUQuD4fC54aIB+5WSDs1WUvdlx6ygpH2jUayrLM+DO+Mmn82RGbHnkc15hGmOUCX1&#10;lAzLWx8dHTg5c4OirmWkG9QfOhl7RRNFFUbDB5ee7+Otv49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H142gAAAA0BAAAPAAAAAAAAAAEAIAAAACIAAABkcnMvZG93bnJldi54bWxQSwECFAAU&#10;AAAACACHTuJAaJmv2igCAAAsBAAADgAAAAAAAAABACAAAAApAQAAZHJzL2Uyb0RvYy54bWxQSwUG&#10;AAAAAAYABgBZAQAAwwUAAAAA&#10;">
                <v:fill on="f" focussize="0,0"/>
                <v:stroke on="f" miterlimit="8" joinstyle="miter"/>
                <v:imagedata o:title=""/>
                <o:lock v:ext="edit" aspectratio="f"/>
                <v:textbox style="mso-fit-shape-to-text:t;">
                  <w:txbxContent>
                    <w:p>
                      <w:pPr>
                        <w:jc w:val="center"/>
                        <w:rPr>
                          <w:rFonts w:ascii="黑体" w:hAnsi="黑体" w:eastAsia="黑体"/>
                          <w:b/>
                          <w:color w:val="FFFFFF" w:themeColor="background1"/>
                          <w:sz w:val="84"/>
                          <w:szCs w:val="84"/>
                          <w14:textFill>
                            <w14:solidFill>
                              <w14:schemeClr w14:val="bg1"/>
                            </w14:solidFill>
                          </w14:textFill>
                        </w:rPr>
                      </w:pPr>
                      <w:r>
                        <w:rPr>
                          <w:rFonts w:ascii="黑体" w:hAnsi="黑体" w:eastAsia="黑体"/>
                          <w:b/>
                          <w:color w:val="FFFFFF" w:themeColor="background1"/>
                          <w:sz w:val="84"/>
                          <w:szCs w:val="84"/>
                          <w14:textFill>
                            <w14:solidFill>
                              <w14:schemeClr w14:val="bg1"/>
                            </w14:solidFill>
                          </w14:textFill>
                        </w:rPr>
                        <w:t>360</w:t>
                      </w:r>
                      <w:r>
                        <w:rPr>
                          <w:rFonts w:hint="eastAsia" w:ascii="黑体" w:hAnsi="黑体" w:eastAsia="黑体"/>
                          <w:b/>
                          <w:color w:val="FFFFFF" w:themeColor="background1"/>
                          <w:sz w:val="84"/>
                          <w:szCs w:val="84"/>
                          <w14:textFill>
                            <w14:solidFill>
                              <w14:schemeClr w14:val="bg1"/>
                            </w14:solidFill>
                          </w14:textFill>
                        </w:rPr>
                        <w:t>运维安全管理</w:t>
                      </w:r>
                      <w:r>
                        <w:rPr>
                          <w:rFonts w:ascii="黑体" w:hAnsi="黑体" w:eastAsia="黑体"/>
                          <w:b/>
                          <w:color w:val="FFFFFF" w:themeColor="background1"/>
                          <w:sz w:val="84"/>
                          <w:szCs w:val="84"/>
                          <w14:textFill>
                            <w14:solidFill>
                              <w14:schemeClr w14:val="bg1"/>
                            </w14:solidFill>
                          </w14:textFill>
                        </w:rPr>
                        <w:t>系统</w:t>
                      </w:r>
                    </w:p>
                    <w:p>
                      <w:pPr>
                        <w:jc w:val="center"/>
                        <w:rPr>
                          <w:rFonts w:ascii="黑体" w:hAnsi="黑体" w:eastAsia="黑体"/>
                          <w:b/>
                          <w:color w:val="FFFFFF" w:themeColor="background1"/>
                          <w:sz w:val="84"/>
                          <w:szCs w:val="84"/>
                          <w14:textFill>
                            <w14:solidFill>
                              <w14:schemeClr w14:val="bg1"/>
                            </w14:solidFill>
                          </w14:textFill>
                        </w:rPr>
                      </w:pPr>
                      <w:r>
                        <w:rPr>
                          <w:rFonts w:hint="eastAsia" w:ascii="黑体" w:hAnsi="黑体" w:eastAsia="黑体"/>
                          <w:b/>
                          <w:color w:val="FFFFFF" w:themeColor="background1"/>
                          <w:sz w:val="84"/>
                          <w:szCs w:val="84"/>
                          <w14:textFill>
                            <w14:solidFill>
                              <w14:schemeClr w14:val="bg1"/>
                            </w14:solidFill>
                          </w14:textFill>
                        </w:rPr>
                        <w:t>产品解决方案</w:t>
                      </w:r>
                    </w:p>
                    <w:p>
                      <w:pPr>
                        <w:jc w:val="center"/>
                        <w:rPr>
                          <w:rFonts w:ascii="黑体" w:hAnsi="黑体" w:eastAsia="黑体"/>
                          <w:b/>
                          <w:color w:val="FFFFFF" w:themeColor="background1"/>
                          <w:sz w:val="24"/>
                          <w:szCs w:val="24"/>
                          <w14:textFill>
                            <w14:solidFill>
                              <w14:schemeClr w14:val="bg1"/>
                            </w14:solidFill>
                          </w14:textFill>
                        </w:rPr>
                      </w:pPr>
                    </w:p>
                  </w:txbxContent>
                </v:textbox>
                <w10:wrap type="square"/>
              </v:shape>
            </w:pict>
          </mc:Fallback>
        </mc:AlternateContent>
      </w:r>
      <w:r>
        <w:br w:type="page"/>
      </w:r>
      <w:bookmarkStart w:id="192" w:name="_GoBack"/>
      <w:bookmarkEnd w:id="192"/>
    </w:p>
    <w:p>
      <w:pPr>
        <w:tabs>
          <w:tab w:val="left" w:pos="3420"/>
        </w:tabs>
      </w:pPr>
      <w:r>
        <w:tab/>
      </w:r>
    </w:p>
    <w:p>
      <w:pPr>
        <w:pStyle w:val="101"/>
      </w:pPr>
      <w:r>
        <w:rPr>
          <w:rFonts w:hint="eastAsia"/>
        </w:rPr>
        <w:t>版权声明</w:t>
      </w:r>
    </w:p>
    <w:p>
      <w:pPr>
        <w:pStyle w:val="101"/>
      </w:pPr>
    </w:p>
    <w:p>
      <w:pPr>
        <w:pStyle w:val="100"/>
        <w:ind w:firstLine="480"/>
      </w:pPr>
      <w:r>
        <w:t>©20</w:t>
      </w:r>
      <w:r>
        <w:rPr>
          <w:rFonts w:hint="eastAsia"/>
        </w:rPr>
        <w:t>20-</w:t>
      </w:r>
      <w:r>
        <w:t>202</w:t>
      </w:r>
      <w:r>
        <w:rPr>
          <w:rFonts w:hint="eastAsia"/>
        </w:rPr>
        <w:t>X</w:t>
      </w:r>
      <w:r>
        <w:t xml:space="preserve"> 360公司</w:t>
      </w:r>
      <w:r>
        <w:rPr>
          <w:rFonts w:hint="eastAsia"/>
        </w:rPr>
        <w:t xml:space="preserve"> 保留所有权利</w:t>
      </w:r>
    </w:p>
    <w:p>
      <w:pPr>
        <w:pStyle w:val="100"/>
        <w:ind w:firstLine="480"/>
      </w:pPr>
      <w:r>
        <w:rPr>
          <w:rFonts w:hint="eastAsia"/>
        </w:rPr>
        <w:t>本文档所有内容均为360公司独立完成，未经360公司作出明确书面许可，不得为任何目的、以任何形式或手段（包括电子、机械、复印、录音或其他形状）对本文档的任何部分进行复制、修改、存储、引入检索系统或者传播。</w:t>
      </w:r>
    </w:p>
    <w:p>
      <w:pPr>
        <w:widowControl/>
        <w:jc w:val="left"/>
        <w:rPr>
          <w:rFonts w:cs="宋体"/>
          <w:kern w:val="0"/>
          <w:szCs w:val="20"/>
        </w:rPr>
        <w:sectPr>
          <w:headerReference r:id="rId3" w:type="default"/>
          <w:footerReference r:id="rId4" w:type="default"/>
          <w:pgSz w:w="11906" w:h="16838"/>
          <w:pgMar w:top="1440" w:right="1800" w:bottom="1440" w:left="1800" w:header="851" w:footer="992" w:gutter="0"/>
          <w:cols w:space="425" w:num="1"/>
          <w:docGrid w:type="lines" w:linePitch="312" w:charSpace="0"/>
        </w:sectPr>
      </w:pPr>
      <w:r>
        <w:br w:type="page"/>
      </w:r>
    </w:p>
    <w:p>
      <w:pPr>
        <w:pStyle w:val="24"/>
      </w:pPr>
      <w:r>
        <w:rPr>
          <w:rFonts w:hint="eastAsia"/>
        </w:rPr>
        <w:t>目录</w:t>
      </w:r>
    </w:p>
    <w:p>
      <w:pPr>
        <w:pStyle w:val="24"/>
        <w:rPr>
          <w:b w:val="0"/>
          <w:sz w:val="21"/>
          <w14:ligatures w14:val="standardContextual"/>
        </w:rPr>
      </w:pPr>
      <w:r>
        <w:rPr>
          <w:rFonts w:eastAsia="宋体"/>
        </w:rPr>
        <w:fldChar w:fldCharType="begin"/>
      </w:r>
      <w:r>
        <w:rPr>
          <w:rFonts w:eastAsia="宋体"/>
        </w:rPr>
        <w:instrText xml:space="preserve"> TOC \o "1-6" \h \z \u </w:instrText>
      </w:r>
      <w:r>
        <w:rPr>
          <w:rFonts w:eastAsia="宋体"/>
        </w:rPr>
        <w:fldChar w:fldCharType="separate"/>
      </w:r>
      <w:r>
        <w:fldChar w:fldCharType="begin"/>
      </w:r>
      <w:r>
        <w:instrText xml:space="preserve"> HYPERLINK \l "_Toc162270042" </w:instrText>
      </w:r>
      <w:r>
        <w:fldChar w:fldCharType="separate"/>
      </w:r>
      <w:r>
        <w:rPr>
          <w:rStyle w:val="41"/>
        </w:rPr>
        <w:t>1.</w:t>
      </w:r>
      <w:r>
        <w:rPr>
          <w:b w:val="0"/>
          <w:sz w:val="21"/>
          <w14:ligatures w14:val="standardContextual"/>
        </w:rPr>
        <w:tab/>
      </w:r>
      <w:r>
        <w:rPr>
          <w:rStyle w:val="41"/>
        </w:rPr>
        <w:t>概述</w:t>
      </w:r>
      <w:r>
        <w:tab/>
      </w:r>
      <w:r>
        <w:fldChar w:fldCharType="begin"/>
      </w:r>
      <w:r>
        <w:instrText xml:space="preserve"> PAGEREF _Toc162270042 \h </w:instrText>
      </w:r>
      <w:r>
        <w:fldChar w:fldCharType="separate"/>
      </w:r>
      <w:r>
        <w:t>1</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"_Toc162270043" </w:instrText>
      </w:r>
      <w:r>
        <w:fldChar w:fldCharType="separate"/>
      </w:r>
      <w:r>
        <w:rPr>
          <w:rStyle w:val="41"/>
        </w:rPr>
        <w:t>1.1.</w:t>
      </w:r>
      <w:r>
        <w:rPr>
          <w14:ligatures w14:val="standardContextual"/>
        </w:rPr>
        <w:tab/>
      </w:r>
      <w:r>
        <w:rPr>
          <w:rStyle w:val="41"/>
        </w:rPr>
        <w:t>项目背景</w:t>
      </w:r>
      <w:r>
        <w:tab/>
      </w:r>
      <w:r>
        <w:fldChar w:fldCharType="begin"/>
      </w:r>
      <w:r>
        <w:instrText xml:space="preserve"> PAGEREF _Toc162270043 \h </w:instrText>
      </w:r>
      <w:r>
        <w:fldChar w:fldCharType="separate"/>
      </w:r>
      <w:r>
        <w:t>1</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"_Toc162270044" </w:instrText>
      </w:r>
      <w:r>
        <w:fldChar w:fldCharType="separate"/>
      </w:r>
      <w:r>
        <w:rPr>
          <w:rStyle w:val="41"/>
        </w:rPr>
        <w:t>1.2.</w:t>
      </w:r>
      <w:r>
        <w:rPr>
          <w14:ligatures w14:val="standardContextual"/>
        </w:rPr>
        <w:tab/>
      </w:r>
      <w:r>
        <w:rPr>
          <w:rStyle w:val="41"/>
        </w:rPr>
        <w:t>项目目标</w:t>
      </w:r>
      <w:r>
        <w:tab/>
      </w:r>
      <w:r>
        <w:fldChar w:fldCharType="begin"/>
      </w:r>
      <w:r>
        <w:instrText xml:space="preserve"> PAGEREF _Toc162270044 \h </w:instrText>
      </w:r>
      <w:r>
        <w:fldChar w:fldCharType="separate"/>
      </w:r>
      <w:r>
        <w:t>1</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"_Toc162270045" </w:instrText>
      </w:r>
      <w:r>
        <w:fldChar w:fldCharType="separate"/>
      </w:r>
      <w:r>
        <w:rPr>
          <w:rStyle w:val="41"/>
        </w:rPr>
        <w:t>1.3.</w:t>
      </w:r>
      <w:r>
        <w:rPr>
          <w14:ligatures w14:val="standardContextual"/>
        </w:rPr>
        <w:tab/>
      </w:r>
      <w:r>
        <w:rPr>
          <w:rStyle w:val="41"/>
        </w:rPr>
        <w:t>需求实现</w:t>
      </w:r>
      <w:r>
        <w:tab/>
      </w:r>
      <w:r>
        <w:fldChar w:fldCharType="begin"/>
      </w:r>
      <w:r>
        <w:instrText xml:space="preserve"> PAGEREF _Toc162270045 \h </w:instrText>
      </w:r>
      <w:r>
        <w:fldChar w:fldCharType="separate"/>
      </w:r>
      <w:r>
        <w:t>1</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"_Toc162270046" </w:instrText>
      </w:r>
      <w:r>
        <w:fldChar w:fldCharType="separate"/>
      </w:r>
      <w:r>
        <w:rPr>
          <w:rStyle w:val="41"/>
        </w:rPr>
        <w:t>1.4.</w:t>
      </w:r>
      <w:r>
        <w:rPr>
          <w14:ligatures w14:val="standardContextual"/>
        </w:rPr>
        <w:tab/>
      </w:r>
      <w:r>
        <w:rPr>
          <w:rStyle w:val="41"/>
        </w:rPr>
        <w:t>方案组网</w:t>
      </w:r>
      <w:r>
        <w:tab/>
      </w:r>
      <w:r>
        <w:fldChar w:fldCharType="begin"/>
      </w:r>
      <w:r>
        <w:instrText xml:space="preserve"> PAGEREF _Toc162270046 \h </w:instrText>
      </w:r>
      <w:r>
        <w:fldChar w:fldCharType="separate"/>
      </w:r>
      <w:r>
        <w:t>3</w:t>
      </w:r>
      <w:r>
        <w:fldChar w:fldCharType="end"/>
      </w:r>
      <w:r>
        <w:fldChar w:fldCharType="end"/>
      </w:r>
    </w:p>
    <w:p>
      <w:pPr>
        <w:pStyle w:val="24"/>
        <w:rPr>
          <w:b w:val="0"/>
          <w:sz w:val="21"/>
          <w14:ligatures w14:val="standardContextual"/>
        </w:rPr>
      </w:pPr>
      <w:r>
        <w:fldChar w:fldCharType="begin"/>
      </w:r>
      <w:r>
        <w:instrText xml:space="preserve"> HYPERLINK \l "_Toc162270047" </w:instrText>
      </w:r>
      <w:r>
        <w:fldChar w:fldCharType="separate"/>
      </w:r>
      <w:r>
        <w:rPr>
          <w:rStyle w:val="41"/>
        </w:rPr>
        <w:t>2.</w:t>
      </w:r>
      <w:r>
        <w:rPr>
          <w:b w:val="0"/>
          <w:sz w:val="21"/>
          <w14:ligatures w14:val="standardContextual"/>
        </w:rPr>
        <w:tab/>
      </w:r>
      <w:r>
        <w:rPr>
          <w:rStyle w:val="41"/>
        </w:rPr>
        <w:t>产品介绍</w:t>
      </w:r>
      <w:r>
        <w:tab/>
      </w:r>
      <w:r>
        <w:fldChar w:fldCharType="begin"/>
      </w:r>
      <w:r>
        <w:instrText xml:space="preserve"> PAGEREF _Toc162270047 \h </w:instrText>
      </w:r>
      <w:r>
        <w:fldChar w:fldCharType="separate"/>
      </w:r>
      <w:r>
        <w:t>4</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"_Toc162270048" </w:instrText>
      </w:r>
      <w:r>
        <w:fldChar w:fldCharType="separate"/>
      </w:r>
      <w:r>
        <w:rPr>
          <w:rStyle w:val="41"/>
        </w:rPr>
        <w:t>2.1.</w:t>
      </w:r>
      <w:r>
        <w:rPr>
          <w14:ligatures w14:val="standardContextual"/>
        </w:rPr>
        <w:tab/>
      </w:r>
      <w:r>
        <w:rPr>
          <w:rStyle w:val="41"/>
        </w:rPr>
        <w:t>集中管理</w:t>
      </w:r>
      <w:r>
        <w:tab/>
      </w:r>
      <w:r>
        <w:fldChar w:fldCharType="begin"/>
      </w:r>
      <w:r>
        <w:instrText xml:space="preserve"> PAGEREF _Toc162270048 \h </w:instrText>
      </w:r>
      <w:r>
        <w:fldChar w:fldCharType="separate"/>
      </w:r>
      <w:r>
        <w:t>5</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"_Toc162270049" </w:instrText>
      </w:r>
      <w:r>
        <w:fldChar w:fldCharType="separate"/>
      </w:r>
      <w:r>
        <w:rPr>
          <w:rStyle w:val="41"/>
        </w:rPr>
        <w:t>2.2.</w:t>
      </w:r>
      <w:r>
        <w:rPr>
          <w14:ligatures w14:val="standardContextual"/>
        </w:rPr>
        <w:tab/>
      </w:r>
      <w:r>
        <w:rPr>
          <w:rStyle w:val="41"/>
        </w:rPr>
        <w:t>身份管理</w:t>
      </w:r>
      <w:r>
        <w:tab/>
      </w:r>
      <w:r>
        <w:fldChar w:fldCharType="begin"/>
      </w:r>
      <w:r>
        <w:instrText xml:space="preserve"> PAGEREF _Toc162270049 \h </w:instrText>
      </w:r>
      <w:r>
        <w:fldChar w:fldCharType="separate"/>
      </w:r>
      <w:r>
        <w:t>6</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"_Toc162270050" </w:instrText>
      </w:r>
      <w:r>
        <w:fldChar w:fldCharType="separate"/>
      </w:r>
      <w:r>
        <w:rPr>
          <w:rStyle w:val="41"/>
        </w:rPr>
        <w:t>2.3.</w:t>
      </w:r>
      <w:r>
        <w:rPr>
          <w14:ligatures w14:val="standardContextual"/>
        </w:rPr>
        <w:tab/>
      </w:r>
      <w:r>
        <w:rPr>
          <w:rStyle w:val="41"/>
        </w:rPr>
        <w:t>访问控制</w:t>
      </w:r>
      <w:r>
        <w:tab/>
      </w:r>
      <w:r>
        <w:fldChar w:fldCharType="begin"/>
      </w:r>
      <w:r>
        <w:instrText xml:space="preserve"> PAGEREF _Toc162270050 \h </w:instrText>
      </w:r>
      <w:r>
        <w:fldChar w:fldCharType="separate"/>
      </w:r>
      <w:r>
        <w:t>6</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"_Toc162270051" </w:instrText>
      </w:r>
      <w:r>
        <w:fldChar w:fldCharType="separate"/>
      </w:r>
      <w:r>
        <w:rPr>
          <w:rStyle w:val="41"/>
        </w:rPr>
        <w:t>2.4.</w:t>
      </w:r>
      <w:r>
        <w:rPr>
          <w14:ligatures w14:val="standardContextual"/>
        </w:rPr>
        <w:tab/>
      </w:r>
      <w:r>
        <w:rPr>
          <w:rStyle w:val="41"/>
        </w:rPr>
        <w:t>权限控制</w:t>
      </w:r>
      <w:r>
        <w:tab/>
      </w:r>
      <w:r>
        <w:fldChar w:fldCharType="begin"/>
      </w:r>
      <w:r>
        <w:instrText xml:space="preserve"> PAGEREF _Toc162270051 \h </w:instrText>
      </w:r>
      <w:r>
        <w:fldChar w:fldCharType="separate"/>
      </w:r>
      <w:r>
        <w:t>6</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"_Toc162270052" </w:instrText>
      </w:r>
      <w:r>
        <w:fldChar w:fldCharType="separate"/>
      </w:r>
      <w:r>
        <w:rPr>
          <w:rStyle w:val="41"/>
        </w:rPr>
        <w:t>2.5.</w:t>
      </w:r>
      <w:r>
        <w:rPr>
          <w14:ligatures w14:val="standardContextual"/>
        </w:rPr>
        <w:tab/>
      </w:r>
      <w:r>
        <w:rPr>
          <w:rStyle w:val="41"/>
        </w:rPr>
        <w:t>操作审计</w:t>
      </w:r>
      <w:r>
        <w:tab/>
      </w:r>
      <w:r>
        <w:fldChar w:fldCharType="begin"/>
      </w:r>
      <w:r>
        <w:instrText xml:space="preserve"> PAGEREF _Toc162270052 \h </w:instrText>
      </w:r>
      <w:r>
        <w:fldChar w:fldCharType="separate"/>
      </w:r>
      <w:r>
        <w:t>6</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"_Toc162270053" </w:instrText>
      </w:r>
      <w:r>
        <w:fldChar w:fldCharType="separate"/>
      </w:r>
      <w:r>
        <w:rPr>
          <w:rStyle w:val="41"/>
        </w:rPr>
        <w:t>2.6.</w:t>
      </w:r>
      <w:r>
        <w:rPr>
          <w14:ligatures w14:val="standardContextual"/>
        </w:rPr>
        <w:tab/>
      </w:r>
      <w:r>
        <w:rPr>
          <w:rStyle w:val="41"/>
        </w:rPr>
        <w:t>“零”影响部署</w:t>
      </w:r>
      <w:r>
        <w:tab/>
      </w:r>
      <w:r>
        <w:fldChar w:fldCharType="begin"/>
      </w:r>
      <w:r>
        <w:instrText xml:space="preserve"> PAGEREF _Toc162270053 \h </w:instrText>
      </w:r>
      <w:r>
        <w:fldChar w:fldCharType="separate"/>
      </w:r>
      <w:r>
        <w:t>6</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"_Toc162270054" </w:instrText>
      </w:r>
      <w:r>
        <w:fldChar w:fldCharType="separate"/>
      </w:r>
      <w:r>
        <w:rPr>
          <w:rStyle w:val="41"/>
        </w:rPr>
        <w:t>2.7.</w:t>
      </w:r>
      <w:r>
        <w:rPr>
          <w14:ligatures w14:val="standardContextual"/>
        </w:rPr>
        <w:tab/>
      </w:r>
      <w:r>
        <w:rPr>
          <w:rStyle w:val="41"/>
        </w:rPr>
        <w:t>高可用性和扩展性</w:t>
      </w:r>
      <w:r>
        <w:tab/>
      </w:r>
      <w:r>
        <w:fldChar w:fldCharType="begin"/>
      </w:r>
      <w:r>
        <w:instrText xml:space="preserve"> PAGEREF _Toc162270054 \h </w:instrText>
      </w:r>
      <w:r>
        <w:fldChar w:fldCharType="separate"/>
      </w:r>
      <w:r>
        <w:t>6</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"_Toc162270055" </w:instrText>
      </w:r>
      <w:r>
        <w:fldChar w:fldCharType="separate"/>
      </w:r>
      <w:r>
        <w:rPr>
          <w:rStyle w:val="41"/>
        </w:rPr>
        <w:t>2.8.</w:t>
      </w:r>
      <w:r>
        <w:rPr>
          <w14:ligatures w14:val="standardContextual"/>
        </w:rPr>
        <w:tab/>
      </w:r>
      <w:r>
        <w:rPr>
          <w:rStyle w:val="41"/>
        </w:rPr>
        <w:t>产品自身安全性</w:t>
      </w:r>
      <w:r>
        <w:tab/>
      </w:r>
      <w:r>
        <w:fldChar w:fldCharType="begin"/>
      </w:r>
      <w:r>
        <w:instrText xml:space="preserve"> PAGEREF _Toc162270055 \h </w:instrText>
      </w:r>
      <w:r>
        <w:fldChar w:fldCharType="separate"/>
      </w:r>
      <w:r>
        <w:t>7</w:t>
      </w:r>
      <w:r>
        <w:fldChar w:fldCharType="end"/>
      </w:r>
      <w:r>
        <w:fldChar w:fldCharType="end"/>
      </w:r>
    </w:p>
    <w:p>
      <w:pPr>
        <w:pStyle w:val="24"/>
        <w:rPr>
          <w:b w:val="0"/>
          <w:sz w:val="21"/>
          <w14:ligatures w14:val="standardContextual"/>
        </w:rPr>
      </w:pPr>
      <w:r>
        <w:fldChar w:fldCharType="begin"/>
      </w:r>
      <w:r>
        <w:instrText xml:space="preserve"> HYPERLINK \l "_Toc162270056" </w:instrText>
      </w:r>
      <w:r>
        <w:fldChar w:fldCharType="separate"/>
      </w:r>
      <w:r>
        <w:rPr>
          <w:rStyle w:val="41"/>
        </w:rPr>
        <w:t>3.</w:t>
      </w:r>
      <w:r>
        <w:rPr>
          <w:b w:val="0"/>
          <w:sz w:val="21"/>
          <w14:ligatures w14:val="standardContextual"/>
        </w:rPr>
        <w:tab/>
      </w:r>
      <w:r>
        <w:rPr>
          <w:rStyle w:val="41"/>
        </w:rPr>
        <w:t>产品功能</w:t>
      </w:r>
      <w:r>
        <w:tab/>
      </w:r>
      <w:r>
        <w:fldChar w:fldCharType="begin"/>
      </w:r>
      <w:r>
        <w:instrText xml:space="preserve"> PAGEREF _Toc162270056 \h </w:instrText>
      </w:r>
      <w:r>
        <w:fldChar w:fldCharType="separate"/>
      </w:r>
      <w:r>
        <w:t>8</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"_Toc162270057" </w:instrText>
      </w:r>
      <w:r>
        <w:fldChar w:fldCharType="separate"/>
      </w:r>
      <w:r>
        <w:rPr>
          <w:rStyle w:val="41"/>
        </w:rPr>
        <w:t>3.1.</w:t>
      </w:r>
      <w:r>
        <w:rPr>
          <w14:ligatures w14:val="standardContextual"/>
        </w:rPr>
        <w:tab/>
      </w:r>
      <w:r>
        <w:rPr>
          <w:rStyle w:val="41"/>
        </w:rPr>
        <w:t>用户、设备与认证管理</w:t>
      </w:r>
      <w:r>
        <w:tab/>
      </w:r>
      <w:r>
        <w:fldChar w:fldCharType="begin"/>
      </w:r>
      <w:r>
        <w:instrText xml:space="preserve"> PAGEREF _Toc162270057 \h </w:instrText>
      </w:r>
      <w:r>
        <w:fldChar w:fldCharType="separate"/>
      </w:r>
      <w:r>
        <w:t>8</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"_Toc162270058" </w:instrText>
      </w:r>
      <w:r>
        <w:fldChar w:fldCharType="separate"/>
      </w:r>
      <w:r>
        <w:rPr>
          <w:rStyle w:val="41"/>
        </w:rPr>
        <w:t>3.2.</w:t>
      </w:r>
      <w:r>
        <w:rPr>
          <w14:ligatures w14:val="standardContextual"/>
        </w:rPr>
        <w:tab/>
      </w:r>
      <w:r>
        <w:rPr>
          <w:rStyle w:val="41"/>
        </w:rPr>
        <w:t>身份授权管理和访问控制</w:t>
      </w:r>
      <w:r>
        <w:tab/>
      </w:r>
      <w:r>
        <w:fldChar w:fldCharType="begin"/>
      </w:r>
      <w:r>
        <w:instrText xml:space="preserve"> PAGEREF _Toc162270058 \h </w:instrText>
      </w:r>
      <w:r>
        <w:fldChar w:fldCharType="separate"/>
      </w:r>
      <w:r>
        <w:t>8</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"_Toc162270059" </w:instrText>
      </w:r>
      <w:r>
        <w:fldChar w:fldCharType="separate"/>
      </w:r>
      <w:r>
        <w:rPr>
          <w:rStyle w:val="41"/>
        </w:rPr>
        <w:t>3.3.</w:t>
      </w:r>
      <w:r>
        <w:rPr>
          <w14:ligatures w14:val="standardContextual"/>
        </w:rPr>
        <w:tab/>
      </w:r>
      <w:r>
        <w:rPr>
          <w:rStyle w:val="41"/>
        </w:rPr>
        <w:t>终端交互和应用交付</w:t>
      </w:r>
      <w:r>
        <w:tab/>
      </w:r>
      <w:r>
        <w:fldChar w:fldCharType="begin"/>
      </w:r>
      <w:r>
        <w:instrText xml:space="preserve"> PAGEREF _Toc162270059 \h </w:instrText>
      </w:r>
      <w:r>
        <w:fldChar w:fldCharType="separate"/>
      </w:r>
      <w:r>
        <w:t>8</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"_Toc162270060" </w:instrText>
      </w:r>
      <w:r>
        <w:fldChar w:fldCharType="separate"/>
      </w:r>
      <w:r>
        <w:rPr>
          <w:rStyle w:val="41"/>
        </w:rPr>
        <w:t>3.4.</w:t>
      </w:r>
      <w:r>
        <w:rPr>
          <w14:ligatures w14:val="standardContextual"/>
        </w:rPr>
        <w:tab/>
      </w:r>
      <w:r>
        <w:rPr>
          <w:rStyle w:val="41"/>
        </w:rPr>
        <w:t>字符终端审计</w:t>
      </w:r>
      <w:r>
        <w:tab/>
      </w:r>
      <w:r>
        <w:fldChar w:fldCharType="begin"/>
      </w:r>
      <w:r>
        <w:instrText xml:space="preserve"> PAGEREF _Toc162270060 \h </w:instrText>
      </w:r>
      <w:r>
        <w:fldChar w:fldCharType="separate"/>
      </w:r>
      <w:r>
        <w:t>9</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"_Toc162270061" </w:instrText>
      </w:r>
      <w:r>
        <w:fldChar w:fldCharType="separate"/>
      </w:r>
      <w:r>
        <w:rPr>
          <w:rStyle w:val="41"/>
        </w:rPr>
        <w:t>3.5.</w:t>
      </w:r>
      <w:r>
        <w:rPr>
          <w14:ligatures w14:val="standardContextual"/>
        </w:rPr>
        <w:tab/>
      </w:r>
      <w:r>
        <w:rPr>
          <w:rStyle w:val="41"/>
        </w:rPr>
        <w:t>图形终端审计</w:t>
      </w:r>
      <w:r>
        <w:tab/>
      </w:r>
      <w:r>
        <w:fldChar w:fldCharType="begin"/>
      </w:r>
      <w:r>
        <w:instrText xml:space="preserve"> PAGEREF _Toc162270061 \h </w:instrText>
      </w:r>
      <w:r>
        <w:fldChar w:fldCharType="separate"/>
      </w:r>
      <w:r>
        <w:t>10</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"_Toc162270062" </w:instrText>
      </w:r>
      <w:r>
        <w:fldChar w:fldCharType="separate"/>
      </w:r>
      <w:r>
        <w:rPr>
          <w:rStyle w:val="41"/>
        </w:rPr>
        <w:t>3.6.</w:t>
      </w:r>
      <w:r>
        <w:rPr>
          <w14:ligatures w14:val="standardContextual"/>
        </w:rPr>
        <w:tab/>
      </w:r>
      <w:r>
        <w:rPr>
          <w:rStyle w:val="41"/>
        </w:rPr>
        <w:t>文件传输审计</w:t>
      </w:r>
      <w:r>
        <w:tab/>
      </w:r>
      <w:r>
        <w:fldChar w:fldCharType="begin"/>
      </w:r>
      <w:r>
        <w:instrText xml:space="preserve"> PAGEREF _Toc162270062 \h </w:instrText>
      </w:r>
      <w:r>
        <w:fldChar w:fldCharType="separate"/>
      </w:r>
      <w:r>
        <w:t>10</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"_Toc162270063" </w:instrText>
      </w:r>
      <w:r>
        <w:fldChar w:fldCharType="separate"/>
      </w:r>
      <w:r>
        <w:rPr>
          <w:rStyle w:val="41"/>
        </w:rPr>
        <w:t>3.7.</w:t>
      </w:r>
      <w:r>
        <w:rPr>
          <w14:ligatures w14:val="standardContextual"/>
        </w:rPr>
        <w:tab/>
      </w:r>
      <w:r>
        <w:rPr>
          <w:rStyle w:val="41"/>
        </w:rPr>
        <w:t>统一身份管理</w:t>
      </w:r>
      <w:r>
        <w:tab/>
      </w:r>
      <w:r>
        <w:fldChar w:fldCharType="begin"/>
      </w:r>
      <w:r>
        <w:instrText xml:space="preserve"> PAGEREF _Toc162270063 \h </w:instrText>
      </w:r>
      <w:r>
        <w:fldChar w:fldCharType="separate"/>
      </w:r>
      <w:r>
        <w:t>10</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"_Toc162270064" </w:instrText>
      </w:r>
      <w:r>
        <w:fldChar w:fldCharType="separate"/>
      </w:r>
      <w:r>
        <w:rPr>
          <w:rStyle w:val="41"/>
        </w:rPr>
        <w:t>3.8.</w:t>
      </w:r>
      <w:r>
        <w:rPr>
          <w14:ligatures w14:val="standardContextual"/>
        </w:rPr>
        <w:tab/>
      </w:r>
      <w:r>
        <w:rPr>
          <w:rStyle w:val="41"/>
        </w:rPr>
        <w:t>接入认证方式</w:t>
      </w:r>
      <w:r>
        <w:tab/>
      </w:r>
      <w:r>
        <w:fldChar w:fldCharType="begin"/>
      </w:r>
      <w:r>
        <w:instrText xml:space="preserve"> PAGEREF _Toc162270064 \h </w:instrText>
      </w:r>
      <w:r>
        <w:fldChar w:fldCharType="separate"/>
      </w:r>
      <w:r>
        <w:t>11</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"_Toc162270065" </w:instrText>
      </w:r>
      <w:r>
        <w:fldChar w:fldCharType="separate"/>
      </w:r>
      <w:r>
        <w:rPr>
          <w:rStyle w:val="41"/>
        </w:rPr>
        <w:t>3.9.</w:t>
      </w:r>
      <w:r>
        <w:rPr>
          <w14:ligatures w14:val="standardContextual"/>
        </w:rPr>
        <w:tab/>
      </w:r>
      <w:r>
        <w:rPr>
          <w:rStyle w:val="41"/>
        </w:rPr>
        <w:t>访问控制功能</w:t>
      </w:r>
      <w:r>
        <w:tab/>
      </w:r>
      <w:r>
        <w:fldChar w:fldCharType="begin"/>
      </w:r>
      <w:r>
        <w:instrText xml:space="preserve"> PAGEREF _Toc162270065 \h </w:instrText>
      </w:r>
      <w:r>
        <w:fldChar w:fldCharType="separate"/>
      </w:r>
      <w:r>
        <w:t>11</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"_Toc162270066" </w:instrText>
      </w:r>
      <w:r>
        <w:fldChar w:fldCharType="separate"/>
      </w:r>
      <w:r>
        <w:rPr>
          <w:rStyle w:val="41"/>
        </w:rPr>
        <w:t>3.10.</w:t>
      </w:r>
      <w:r>
        <w:rPr>
          <w14:ligatures w14:val="standardContextual"/>
        </w:rPr>
        <w:tab/>
      </w:r>
      <w:r>
        <w:rPr>
          <w:rStyle w:val="41"/>
        </w:rPr>
        <w:t>单点登录</w:t>
      </w:r>
      <w:r>
        <w:tab/>
      </w:r>
      <w:r>
        <w:fldChar w:fldCharType="begin"/>
      </w:r>
      <w:r>
        <w:instrText xml:space="preserve"> PAGEREF _Toc162270066 \h </w:instrText>
      </w:r>
      <w:r>
        <w:fldChar w:fldCharType="separate"/>
      </w:r>
      <w:r>
        <w:t>12</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"_Toc162270067" </w:instrText>
      </w:r>
      <w:r>
        <w:fldChar w:fldCharType="separate"/>
      </w:r>
      <w:r>
        <w:rPr>
          <w:rStyle w:val="41"/>
        </w:rPr>
        <w:t>3.11.</w:t>
      </w:r>
      <w:r>
        <w:rPr>
          <w14:ligatures w14:val="standardContextual"/>
        </w:rPr>
        <w:tab/>
      </w:r>
      <w:r>
        <w:rPr>
          <w:rStyle w:val="41"/>
        </w:rPr>
        <w:t>账号集中管理</w:t>
      </w:r>
      <w:r>
        <w:tab/>
      </w:r>
      <w:r>
        <w:fldChar w:fldCharType="begin"/>
      </w:r>
      <w:r>
        <w:instrText xml:space="preserve"> PAGEREF _Toc162270067 \h </w:instrText>
      </w:r>
      <w:r>
        <w:fldChar w:fldCharType="separate"/>
      </w:r>
      <w:r>
        <w:t>13</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"_Toc162270068" </w:instrText>
      </w:r>
      <w:r>
        <w:fldChar w:fldCharType="separate"/>
      </w:r>
      <w:r>
        <w:rPr>
          <w:rStyle w:val="41"/>
        </w:rPr>
        <w:t>3.12.</w:t>
      </w:r>
      <w:r>
        <w:rPr>
          <w14:ligatures w14:val="standardContextual"/>
        </w:rPr>
        <w:tab/>
      </w:r>
      <w:r>
        <w:rPr>
          <w:rStyle w:val="41"/>
        </w:rPr>
        <w:t>自动改密功能</w:t>
      </w:r>
      <w:r>
        <w:tab/>
      </w:r>
      <w:r>
        <w:fldChar w:fldCharType="begin"/>
      </w:r>
      <w:r>
        <w:instrText xml:space="preserve"> PAGEREF _Toc162270068 \h </w:instrText>
      </w:r>
      <w:r>
        <w:fldChar w:fldCharType="separate"/>
      </w:r>
      <w:r>
        <w:t>13</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"_Toc162270069" </w:instrText>
      </w:r>
      <w:r>
        <w:fldChar w:fldCharType="separate"/>
      </w:r>
      <w:r>
        <w:rPr>
          <w:rStyle w:val="41"/>
        </w:rPr>
        <w:t>3.13.</w:t>
      </w:r>
      <w:r>
        <w:rPr>
          <w14:ligatures w14:val="standardContextual"/>
        </w:rPr>
        <w:tab/>
      </w:r>
      <w:r>
        <w:rPr>
          <w:rStyle w:val="41"/>
        </w:rPr>
        <w:t>密码管理</w:t>
      </w:r>
      <w:r>
        <w:tab/>
      </w:r>
      <w:r>
        <w:fldChar w:fldCharType="begin"/>
      </w:r>
      <w:r>
        <w:instrText xml:space="preserve"> PAGEREF _Toc162270069 \h </w:instrText>
      </w:r>
      <w:r>
        <w:fldChar w:fldCharType="separate"/>
      </w:r>
      <w:r>
        <w:t>14</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"_Toc162270070" </w:instrText>
      </w:r>
      <w:r>
        <w:fldChar w:fldCharType="separate"/>
      </w:r>
      <w:r>
        <w:rPr>
          <w:rStyle w:val="41"/>
        </w:rPr>
        <w:t>3.14.</w:t>
      </w:r>
      <w:r>
        <w:rPr>
          <w14:ligatures w14:val="standardContextual"/>
        </w:rPr>
        <w:tab/>
      </w:r>
      <w:r>
        <w:rPr>
          <w:rStyle w:val="41"/>
        </w:rPr>
        <w:t>授权模式</w:t>
      </w:r>
      <w:r>
        <w:tab/>
      </w:r>
      <w:r>
        <w:fldChar w:fldCharType="begin"/>
      </w:r>
      <w:r>
        <w:instrText xml:space="preserve"> PAGEREF _Toc162270070 \h </w:instrText>
      </w:r>
      <w:r>
        <w:fldChar w:fldCharType="separate"/>
      </w:r>
      <w:r>
        <w:t>14</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"_Toc162270071" </w:instrText>
      </w:r>
      <w:r>
        <w:fldChar w:fldCharType="separate"/>
      </w:r>
      <w:r>
        <w:rPr>
          <w:rStyle w:val="41"/>
        </w:rPr>
        <w:t>3.15.</w:t>
      </w:r>
      <w:r>
        <w:rPr>
          <w14:ligatures w14:val="standardContextual"/>
        </w:rPr>
        <w:tab/>
      </w:r>
      <w:r>
        <w:rPr>
          <w:rStyle w:val="41"/>
        </w:rPr>
        <w:t>命令控制功能</w:t>
      </w:r>
      <w:r>
        <w:tab/>
      </w:r>
      <w:r>
        <w:fldChar w:fldCharType="begin"/>
      </w:r>
      <w:r>
        <w:instrText xml:space="preserve"> PAGEREF _Toc162270071 \h </w:instrText>
      </w:r>
      <w:r>
        <w:fldChar w:fldCharType="separate"/>
      </w:r>
      <w:r>
        <w:t>15</w:t>
      </w:r>
      <w:r>
        <w:fldChar w:fldCharType="end"/>
      </w:r>
      <w:r>
        <w:fldChar w:fldCharType="end"/>
      </w:r>
    </w:p>
    <w:p>
      <w:pPr>
        <w:pStyle w:val="18"/>
        <w:tabs>
          <w:tab w:val="left" w:pos="1680"/>
          <w:tab w:val="right" w:leader="dot" w:pos="8296"/>
        </w:tabs>
        <w:rPr>
          <w14:ligatures w14:val="standardContextual"/>
        </w:rPr>
      </w:pPr>
      <w:r>
        <w:fldChar w:fldCharType="begin"/>
      </w:r>
      <w:r>
        <w:instrText xml:space="preserve"> HYPERLINK \l "_Toc162270072" </w:instrText>
      </w:r>
      <w:r>
        <w:fldChar w:fldCharType="separate"/>
      </w:r>
      <w:r>
        <w:rPr>
          <w:rStyle w:val="41"/>
        </w:rPr>
        <w:t>3.15.1.</w:t>
      </w:r>
      <w:r>
        <w:rPr>
          <w14:ligatures w14:val="standardContextual"/>
        </w:rPr>
        <w:tab/>
      </w:r>
      <w:r>
        <w:rPr>
          <w:rStyle w:val="41"/>
        </w:rPr>
        <w:t>运维操作实时监控</w:t>
      </w:r>
      <w:r>
        <w:tab/>
      </w:r>
      <w:r>
        <w:fldChar w:fldCharType="begin"/>
      </w:r>
      <w:r>
        <w:instrText xml:space="preserve"> PAGEREF _Toc162270072 \h </w:instrText>
      </w:r>
      <w:r>
        <w:fldChar w:fldCharType="separate"/>
      </w:r>
      <w:r>
        <w:t>15</w:t>
      </w:r>
      <w:r>
        <w:fldChar w:fldCharType="end"/>
      </w:r>
      <w:r>
        <w:fldChar w:fldCharType="end"/>
      </w:r>
    </w:p>
    <w:p>
      <w:pPr>
        <w:pStyle w:val="18"/>
        <w:tabs>
          <w:tab w:val="left" w:pos="1680"/>
          <w:tab w:val="right" w:leader="dot" w:pos="8296"/>
        </w:tabs>
        <w:rPr>
          <w14:ligatures w14:val="standardContextual"/>
        </w:rPr>
      </w:pPr>
      <w:r>
        <w:fldChar w:fldCharType="begin"/>
      </w:r>
      <w:r>
        <w:instrText xml:space="preserve"> HYPERLINK \l "_Toc162270073" </w:instrText>
      </w:r>
      <w:r>
        <w:fldChar w:fldCharType="separate"/>
      </w:r>
      <w:r>
        <w:rPr>
          <w:rStyle w:val="41"/>
        </w:rPr>
        <w:t>3.15.2.</w:t>
      </w:r>
      <w:r>
        <w:rPr>
          <w14:ligatures w14:val="standardContextual"/>
        </w:rPr>
        <w:tab/>
      </w:r>
      <w:r>
        <w:rPr>
          <w:rStyle w:val="41"/>
        </w:rPr>
        <w:t>日志报表</w:t>
      </w:r>
      <w:r>
        <w:tab/>
      </w:r>
      <w:r>
        <w:fldChar w:fldCharType="begin"/>
      </w:r>
      <w:r>
        <w:instrText xml:space="preserve"> PAGEREF _Toc162270073 \h </w:instrText>
      </w:r>
      <w:r>
        <w:fldChar w:fldCharType="separate"/>
      </w:r>
      <w:r>
        <w:t>15</w:t>
      </w:r>
      <w:r>
        <w:fldChar w:fldCharType="end"/>
      </w:r>
      <w:r>
        <w:fldChar w:fldCharType="end"/>
      </w:r>
    </w:p>
    <w:p>
      <w:pPr>
        <w:pStyle w:val="24"/>
        <w:rPr>
          <w:b w:val="0"/>
          <w:sz w:val="21"/>
          <w14:ligatures w14:val="standardContextual"/>
        </w:rPr>
      </w:pPr>
      <w:r>
        <w:fldChar w:fldCharType="begin"/>
      </w:r>
      <w:r>
        <w:instrText xml:space="preserve"> HYPERLINK \l "_Toc162270074" </w:instrText>
      </w:r>
      <w:r>
        <w:fldChar w:fldCharType="separate"/>
      </w:r>
      <w:r>
        <w:rPr>
          <w:rStyle w:val="41"/>
        </w:rPr>
        <w:t>4.</w:t>
      </w:r>
      <w:r>
        <w:rPr>
          <w:b w:val="0"/>
          <w:sz w:val="21"/>
          <w14:ligatures w14:val="standardContextual"/>
        </w:rPr>
        <w:tab/>
      </w:r>
      <w:r>
        <w:rPr>
          <w:rStyle w:val="41"/>
        </w:rPr>
        <w:t>技术优势</w:t>
      </w:r>
      <w:r>
        <w:tab/>
      </w:r>
      <w:r>
        <w:fldChar w:fldCharType="begin"/>
      </w:r>
      <w:r>
        <w:instrText xml:space="preserve"> PAGEREF _Toc162270074 \h </w:instrText>
      </w:r>
      <w:r>
        <w:fldChar w:fldCharType="separate"/>
      </w:r>
      <w:r>
        <w:t>16</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"_Toc162270075" </w:instrText>
      </w:r>
      <w:r>
        <w:fldChar w:fldCharType="separate"/>
      </w:r>
      <w:r>
        <w:rPr>
          <w:rStyle w:val="41"/>
        </w:rPr>
        <w:t>4.1.</w:t>
      </w:r>
      <w:r>
        <w:rPr>
          <w14:ligatures w14:val="standardContextual"/>
        </w:rPr>
        <w:tab/>
      </w:r>
      <w:r>
        <w:rPr>
          <w:rStyle w:val="41"/>
        </w:rPr>
        <w:t>完备的统一操作运维平台</w:t>
      </w:r>
      <w:r>
        <w:tab/>
      </w:r>
      <w:r>
        <w:fldChar w:fldCharType="begin"/>
      </w:r>
      <w:r>
        <w:instrText xml:space="preserve"> PAGEREF _Toc162270075 \h </w:instrText>
      </w:r>
      <w:r>
        <w:fldChar w:fldCharType="separate"/>
      </w:r>
      <w:r>
        <w:t>16</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"_Toc162270076" </w:instrText>
      </w:r>
      <w:r>
        <w:fldChar w:fldCharType="separate"/>
      </w:r>
      <w:r>
        <w:rPr>
          <w:rStyle w:val="41"/>
        </w:rPr>
        <w:t>4.2.</w:t>
      </w:r>
      <w:r>
        <w:rPr>
          <w14:ligatures w14:val="standardContextual"/>
        </w:rPr>
        <w:tab/>
      </w:r>
      <w:r>
        <w:rPr>
          <w:rStyle w:val="41"/>
        </w:rPr>
        <w:t>国产化系统及数据库支持</w:t>
      </w:r>
      <w:r>
        <w:tab/>
      </w:r>
      <w:r>
        <w:fldChar w:fldCharType="begin"/>
      </w:r>
      <w:r>
        <w:instrText xml:space="preserve"> PAGEREF _Toc162270076 \h </w:instrText>
      </w:r>
      <w:r>
        <w:fldChar w:fldCharType="separate"/>
      </w:r>
      <w:r>
        <w:t>16</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"_Toc162270077" </w:instrText>
      </w:r>
      <w:r>
        <w:fldChar w:fldCharType="separate"/>
      </w:r>
      <w:r>
        <w:rPr>
          <w:rStyle w:val="41"/>
        </w:rPr>
        <w:t>4.3.</w:t>
      </w:r>
      <w:r>
        <w:rPr>
          <w14:ligatures w14:val="standardContextual"/>
        </w:rPr>
        <w:tab/>
      </w:r>
      <w:r>
        <w:rPr>
          <w:rStyle w:val="41"/>
        </w:rPr>
        <w:t>全面的认证系统支持</w:t>
      </w:r>
      <w:r>
        <w:tab/>
      </w:r>
      <w:r>
        <w:fldChar w:fldCharType="begin"/>
      </w:r>
      <w:r>
        <w:instrText xml:space="preserve"> PAGEREF _Toc162270077 \h </w:instrText>
      </w:r>
      <w:r>
        <w:fldChar w:fldCharType="separate"/>
      </w:r>
      <w:r>
        <w:t>16</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"_Toc162270078" </w:instrText>
      </w:r>
      <w:r>
        <w:fldChar w:fldCharType="separate"/>
      </w:r>
      <w:r>
        <w:rPr>
          <w:rStyle w:val="41"/>
        </w:rPr>
        <w:t>4.4.</w:t>
      </w:r>
      <w:r>
        <w:rPr>
          <w14:ligatures w14:val="standardContextual"/>
        </w:rPr>
        <w:tab/>
      </w:r>
      <w:r>
        <w:rPr>
          <w:rStyle w:val="41"/>
        </w:rPr>
        <w:t>HTML5运维</w:t>
      </w:r>
      <w:r>
        <w:tab/>
      </w:r>
      <w:r>
        <w:fldChar w:fldCharType="begin"/>
      </w:r>
      <w:r>
        <w:instrText xml:space="preserve"> PAGEREF _Toc162270078 \h </w:instrText>
      </w:r>
      <w:r>
        <w:fldChar w:fldCharType="separate"/>
      </w:r>
      <w:r>
        <w:t>16</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"_Toc162270079" </w:instrText>
      </w:r>
      <w:r>
        <w:fldChar w:fldCharType="separate"/>
      </w:r>
      <w:r>
        <w:rPr>
          <w:rStyle w:val="41"/>
        </w:rPr>
        <w:t>4.5.</w:t>
      </w:r>
      <w:r>
        <w:rPr>
          <w14:ligatures w14:val="standardContextual"/>
        </w:rPr>
        <w:tab/>
      </w:r>
      <w:r>
        <w:rPr>
          <w:rStyle w:val="41"/>
        </w:rPr>
        <w:t>实时监控技术</w:t>
      </w:r>
      <w:r>
        <w:tab/>
      </w:r>
      <w:r>
        <w:fldChar w:fldCharType="begin"/>
      </w:r>
      <w:r>
        <w:instrText xml:space="preserve"> PAGEREF _Toc162270079 \h </w:instrText>
      </w:r>
      <w:r>
        <w:fldChar w:fldCharType="separate"/>
      </w:r>
      <w:r>
        <w:t>17</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"_Toc162270080" </w:instrText>
      </w:r>
      <w:r>
        <w:fldChar w:fldCharType="separate"/>
      </w:r>
      <w:r>
        <w:rPr>
          <w:rStyle w:val="41"/>
        </w:rPr>
        <w:t>4.6.</w:t>
      </w:r>
      <w:r>
        <w:rPr>
          <w14:ligatures w14:val="standardContextual"/>
        </w:rPr>
        <w:tab/>
      </w:r>
      <w:r>
        <w:rPr>
          <w:rStyle w:val="41"/>
        </w:rPr>
        <w:t>OCR标题栏识别技术</w:t>
      </w:r>
      <w:r>
        <w:tab/>
      </w:r>
      <w:r>
        <w:fldChar w:fldCharType="begin"/>
      </w:r>
      <w:r>
        <w:instrText xml:space="preserve"> PAGEREF _Toc162270080 \h </w:instrText>
      </w:r>
      <w:r>
        <w:fldChar w:fldCharType="separate"/>
      </w:r>
      <w:r>
        <w:t>17</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"_Toc162270081" </w:instrText>
      </w:r>
      <w:r>
        <w:fldChar w:fldCharType="separate"/>
      </w:r>
      <w:r>
        <w:rPr>
          <w:rStyle w:val="41"/>
        </w:rPr>
        <w:t>4.7.</w:t>
      </w:r>
      <w:r>
        <w:rPr>
          <w14:ligatures w14:val="standardContextual"/>
        </w:rPr>
        <w:tab/>
      </w:r>
      <w:r>
        <w:rPr>
          <w:rStyle w:val="41"/>
        </w:rPr>
        <w:t>图形智能传输功能</w:t>
      </w:r>
      <w:r>
        <w:tab/>
      </w:r>
      <w:r>
        <w:fldChar w:fldCharType="begin"/>
      </w:r>
      <w:r>
        <w:instrText xml:space="preserve"> PAGEREF _Toc162270081 \h </w:instrText>
      </w:r>
      <w:r>
        <w:fldChar w:fldCharType="separate"/>
      </w:r>
      <w:r>
        <w:t>17</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"_Toc162270082" </w:instrText>
      </w:r>
      <w:r>
        <w:fldChar w:fldCharType="separate"/>
      </w:r>
      <w:r>
        <w:rPr>
          <w:rStyle w:val="41"/>
        </w:rPr>
        <w:t>4.8.</w:t>
      </w:r>
      <w:r>
        <w:rPr>
          <w14:ligatures w14:val="standardContextual"/>
        </w:rPr>
        <w:tab/>
      </w:r>
      <w:r>
        <w:rPr>
          <w:rStyle w:val="41"/>
        </w:rPr>
        <w:t>文件传输内容审计</w:t>
      </w:r>
      <w:r>
        <w:tab/>
      </w:r>
      <w:r>
        <w:fldChar w:fldCharType="begin"/>
      </w:r>
      <w:r>
        <w:instrText xml:space="preserve"> PAGEREF _Toc162270082 \h </w:instrText>
      </w:r>
      <w:r>
        <w:fldChar w:fldCharType="separate"/>
      </w:r>
      <w:r>
        <w:t>17</w:t>
      </w:r>
      <w:r>
        <w:fldChar w:fldCharType="end"/>
      </w:r>
      <w:r>
        <w:fldChar w:fldCharType="end"/>
      </w:r>
    </w:p>
    <w:p>
      <w:pPr>
        <w:pStyle w:val="24"/>
        <w:rPr>
          <w:b w:val="0"/>
          <w:sz w:val="21"/>
          <w14:ligatures w14:val="standardContextual"/>
        </w:rPr>
      </w:pPr>
      <w:r>
        <w:fldChar w:fldCharType="begin"/>
      </w:r>
      <w:r>
        <w:instrText xml:space="preserve"> HYPERLINK \l "_Toc162270083" </w:instrText>
      </w:r>
      <w:r>
        <w:fldChar w:fldCharType="separate"/>
      </w:r>
      <w:r>
        <w:rPr>
          <w:rStyle w:val="41"/>
        </w:rPr>
        <w:t>5.</w:t>
      </w:r>
      <w:r>
        <w:rPr>
          <w:b w:val="0"/>
          <w:sz w:val="21"/>
          <w14:ligatures w14:val="standardContextual"/>
        </w:rPr>
        <w:tab/>
      </w:r>
      <w:r>
        <w:rPr>
          <w:rStyle w:val="41"/>
        </w:rPr>
        <w:t>建设收益</w:t>
      </w:r>
      <w:r>
        <w:tab/>
      </w:r>
      <w:r>
        <w:fldChar w:fldCharType="begin"/>
      </w:r>
      <w:r>
        <w:instrText xml:space="preserve"> PAGEREF _Toc162270083 \h </w:instrText>
      </w:r>
      <w:r>
        <w:fldChar w:fldCharType="separate"/>
      </w:r>
      <w:r>
        <w:t>18</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"_Toc162270084" </w:instrText>
      </w:r>
      <w:r>
        <w:fldChar w:fldCharType="separate"/>
      </w:r>
      <w:r>
        <w:rPr>
          <w:rStyle w:val="41"/>
        </w:rPr>
        <w:t>5.1.</w:t>
      </w:r>
      <w:r>
        <w:rPr>
          <w14:ligatures w14:val="standardContextual"/>
        </w:rPr>
        <w:tab/>
      </w:r>
      <w:r>
        <w:rPr>
          <w:rStyle w:val="41"/>
        </w:rPr>
        <w:t>规范运维管理</w:t>
      </w:r>
      <w:r>
        <w:tab/>
      </w:r>
      <w:r>
        <w:fldChar w:fldCharType="begin"/>
      </w:r>
      <w:r>
        <w:instrText xml:space="preserve"> PAGEREF _Toc162270084 \h </w:instrText>
      </w:r>
      <w:r>
        <w:fldChar w:fldCharType="separate"/>
      </w:r>
      <w:r>
        <w:t>18</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"_Toc162270085" </w:instrText>
      </w:r>
      <w:r>
        <w:fldChar w:fldCharType="separate"/>
      </w:r>
      <w:r>
        <w:rPr>
          <w:rStyle w:val="41"/>
        </w:rPr>
        <w:t>5.2.</w:t>
      </w:r>
      <w:r>
        <w:rPr>
          <w14:ligatures w14:val="standardContextual"/>
        </w:rPr>
        <w:tab/>
      </w:r>
      <w:r>
        <w:rPr>
          <w:rStyle w:val="41"/>
        </w:rPr>
        <w:t>满足合规性要求</w:t>
      </w:r>
      <w:r>
        <w:tab/>
      </w:r>
      <w:r>
        <w:fldChar w:fldCharType="begin"/>
      </w:r>
      <w:r>
        <w:instrText xml:space="preserve"> PAGEREF _Toc162270085 \h </w:instrText>
      </w:r>
      <w:r>
        <w:fldChar w:fldCharType="separate"/>
      </w:r>
      <w:r>
        <w:t>18</w:t>
      </w:r>
      <w:r>
        <w:fldChar w:fldCharType="end"/>
      </w:r>
      <w:r>
        <w:fldChar w:fldCharType="end"/>
      </w:r>
    </w:p>
    <w:p>
      <w:pPr>
        <w:pStyle w:val="27"/>
        <w:tabs>
          <w:tab w:val="left" w:pos="1260"/>
          <w:tab w:val="right" w:leader="dot" w:pos="8296"/>
        </w:tabs>
        <w:rPr>
          <w14:ligatures w14:val="standardContextual"/>
        </w:rPr>
      </w:pPr>
      <w:r>
        <w:fldChar w:fldCharType="begin"/>
      </w:r>
      <w:r>
        <w:instrText xml:space="preserve"> HYPERLINK \l "_Toc162270086" </w:instrText>
      </w:r>
      <w:r>
        <w:fldChar w:fldCharType="separate"/>
      </w:r>
      <w:r>
        <w:rPr>
          <w:rStyle w:val="41"/>
        </w:rPr>
        <w:t>5.3.</w:t>
      </w:r>
      <w:r>
        <w:rPr>
          <w14:ligatures w14:val="standardContextual"/>
        </w:rPr>
        <w:tab/>
      </w:r>
      <w:r>
        <w:rPr>
          <w:rStyle w:val="41"/>
        </w:rPr>
        <w:t>降低资源风险，快速故障定位和责任追踪</w:t>
      </w:r>
      <w:r>
        <w:tab/>
      </w:r>
      <w:r>
        <w:fldChar w:fldCharType="begin"/>
      </w:r>
      <w:r>
        <w:instrText xml:space="preserve"> PAGEREF _Toc162270086 \h </w:instrText>
      </w:r>
      <w:r>
        <w:fldChar w:fldCharType="separate"/>
      </w:r>
      <w:r>
        <w:t>18</w:t>
      </w:r>
      <w:r>
        <w:fldChar w:fldCharType="end"/>
      </w:r>
      <w:r>
        <w:fldChar w:fldCharType="end"/>
      </w:r>
    </w:p>
    <w:p>
      <w:pPr>
        <w:rPr>
          <w:rFonts w:eastAsia="宋体"/>
          <w:sz w:val="28"/>
        </w:rPr>
      </w:pPr>
      <w:r>
        <w:rPr>
          <w:rFonts w:eastAsia="宋体"/>
          <w:sz w:val="28"/>
        </w:rPr>
        <w:fldChar w:fldCharType="end"/>
      </w:r>
    </w:p>
    <w:p>
      <w:pPr>
        <w:widowControl/>
        <w:jc w:val="left"/>
        <w:rPr>
          <w:rFonts w:eastAsia="宋体"/>
          <w:sz w:val="28"/>
        </w:rPr>
        <w:sectPr>
          <w:headerReference r:id="rId5" w:type="default"/>
          <w:footerReference r:id="rId6" w:type="default"/>
          <w:pgSz w:w="11906" w:h="16838"/>
          <w:pgMar w:top="1440" w:right="1800" w:bottom="1440" w:left="1800" w:header="851" w:footer="992" w:gutter="0"/>
          <w:pgNumType w:start="1"/>
          <w:cols w:space="425" w:num="1"/>
          <w:titlePg/>
          <w:docGrid w:type="lines" w:linePitch="312" w:charSpace="0"/>
        </w:sectPr>
      </w:pPr>
      <w:r>
        <w:rPr>
          <w:rFonts w:eastAsia="宋体"/>
          <w:sz w:val="28"/>
        </w:rPr>
        <w:br w:type="page"/>
      </w:r>
    </w:p>
    <w:p>
      <w:pPr>
        <w:pStyle w:val="47"/>
      </w:pPr>
      <w:bookmarkStart w:id="0" w:name="_Toc162270042"/>
      <w:bookmarkStart w:id="1" w:name="_Toc140011104"/>
      <w:bookmarkStart w:id="2" w:name="_Toc140137031"/>
      <w:r>
        <w:rPr>
          <w:rFonts w:hint="eastAsia"/>
        </w:rPr>
        <w:t>概述</w:t>
      </w:r>
      <w:bookmarkEnd w:id="0"/>
    </w:p>
    <w:p>
      <w:pPr>
        <w:pStyle w:val="46"/>
        <w:numPr>
          <w:ilvl w:val="0"/>
          <w:numId w:val="8"/>
        </w:numPr>
      </w:pPr>
      <w:bookmarkStart w:id="3" w:name="_Toc162270043"/>
      <w:r>
        <w:rPr>
          <w:rFonts w:hint="eastAsia"/>
        </w:rPr>
        <w:t>项目背景</w:t>
      </w:r>
      <w:bookmarkEnd w:id="1"/>
      <w:bookmarkEnd w:id="2"/>
      <w:bookmarkEnd w:id="3"/>
    </w:p>
    <w:p>
      <w:pPr>
        <w:pStyle w:val="48"/>
        <w:rPr>
          <w:rFonts w:asciiTheme="minorEastAsia" w:hAnsiTheme="minorEastAsia" w:eastAsiaTheme="minorEastAsia"/>
        </w:rPr>
      </w:pPr>
      <w:r>
        <w:rPr>
          <w:rFonts w:hint="eastAsia" w:asciiTheme="minorEastAsia" w:hAnsiTheme="minorEastAsia" w:eastAsiaTheme="minorEastAsia"/>
        </w:rPr>
        <w:t>随着信息技术的飞速发展，网络信息应用无处不在。电子商务、电子政务、网上银行、信息高速公路等新兴生产、生活模式的出现不仅大大提高了我们的生产效率，而且对人类社会生活的影响已经上升到了生产关系和社会上层建筑的层面，人类社会开始真正进入信息社会。在各种网络信息应用中，服务器都充当了极其重要的角色，如何管理和维护好服务器，如何保证服务器的安全等就成了首先需要解决的问题。</w:t>
      </w:r>
    </w:p>
    <w:p>
      <w:pPr>
        <w:pStyle w:val="48"/>
        <w:rPr>
          <w:rFonts w:asciiTheme="minorEastAsia" w:hAnsiTheme="minorEastAsia" w:eastAsiaTheme="minorEastAsia"/>
        </w:rPr>
      </w:pPr>
      <w:r>
        <w:rPr>
          <w:rFonts w:hint="eastAsia" w:asciiTheme="minorEastAsia" w:hAnsiTheme="minorEastAsia" w:eastAsiaTheme="minorEastAsia"/>
        </w:rPr>
        <w:t>面对系统和网络安全性、IT运维管理和IT内控外审的挑战，管理人员需要有效的技术手段，按照行业标准进行精确管理、事后追溯审计、实时监控和警报。如何提高系统运维管理水平，满足相关标准要求，防止黑客的入侵和恶意访问，跟踪服务器上用户行为，降低运维成本，提供控制和审计依据，已经成为越来越困扰这些企业的问题。</w:t>
      </w:r>
    </w:p>
    <w:p>
      <w:pPr>
        <w:pStyle w:val="46"/>
        <w:numPr>
          <w:ilvl w:val="0"/>
          <w:numId w:val="8"/>
        </w:numPr>
      </w:pPr>
      <w:bookmarkStart w:id="4" w:name="_Toc140011105"/>
      <w:bookmarkStart w:id="5" w:name="_Toc140137032"/>
      <w:bookmarkStart w:id="6" w:name="_Toc162270044"/>
      <w:r>
        <w:rPr>
          <w:rFonts w:hint="eastAsia"/>
        </w:rPr>
        <w:t>项目目标</w:t>
      </w:r>
      <w:bookmarkEnd w:id="4"/>
      <w:bookmarkEnd w:id="5"/>
      <w:bookmarkEnd w:id="6"/>
    </w:p>
    <w:p>
      <w:pPr>
        <w:spacing w:line="360" w:lineRule="auto"/>
        <w:ind w:firstLine="480" w:firstLineChars="200"/>
        <w:rPr>
          <w:rFonts w:asciiTheme="minorEastAsia" w:hAnsiTheme="minorEastAsia"/>
          <w:sz w:val="24"/>
          <w:szCs w:val="28"/>
        </w:rPr>
      </w:pPr>
      <w:r>
        <w:rPr>
          <w:rFonts w:hint="eastAsia" w:asciiTheme="minorEastAsia" w:hAnsiTheme="minorEastAsia"/>
          <w:sz w:val="24"/>
          <w:szCs w:val="28"/>
        </w:rPr>
        <w:t>360运维安全管理系统部署完成后，当可帮助用户达到以下管理目标：</w:t>
      </w:r>
    </w:p>
    <w:p>
      <w:pPr>
        <w:pStyle w:val="44"/>
        <w:numPr>
          <w:ilvl w:val="0"/>
          <w:numId w:val="9"/>
        </w:numPr>
        <w:spacing w:line="360" w:lineRule="auto"/>
        <w:ind w:left="1134" w:firstLineChars="0"/>
        <w:rPr>
          <w:rFonts w:asciiTheme="minorEastAsia" w:hAnsiTheme="minorEastAsia"/>
          <w:sz w:val="24"/>
          <w:szCs w:val="28"/>
        </w:rPr>
      </w:pPr>
      <w:r>
        <w:rPr>
          <w:rFonts w:hint="eastAsia" w:asciiTheme="minorEastAsia" w:hAnsiTheme="minorEastAsia"/>
          <w:sz w:val="24"/>
          <w:szCs w:val="28"/>
        </w:rPr>
        <w:t>实现运维操作集中管理：运维人员统一通过360运维安全管理系统作为统一入口访问被纳管的资产。</w:t>
      </w:r>
    </w:p>
    <w:p>
      <w:pPr>
        <w:pStyle w:val="44"/>
        <w:numPr>
          <w:ilvl w:val="0"/>
          <w:numId w:val="9"/>
        </w:numPr>
        <w:spacing w:line="360" w:lineRule="auto"/>
        <w:ind w:left="1134" w:firstLineChars="0"/>
        <w:rPr>
          <w:rFonts w:asciiTheme="minorEastAsia" w:hAnsiTheme="minorEastAsia"/>
          <w:sz w:val="24"/>
          <w:szCs w:val="28"/>
        </w:rPr>
      </w:pPr>
      <w:r>
        <w:rPr>
          <w:rFonts w:hint="eastAsia" w:asciiTheme="minorEastAsia" w:hAnsiTheme="minorEastAsia"/>
          <w:sz w:val="24"/>
          <w:szCs w:val="28"/>
        </w:rPr>
        <w:t>实现资产管理可视化：通过动态、全景、可视化的资产视图以及树状结构管理功能，更高效地进行大规模设备的管理。</w:t>
      </w:r>
    </w:p>
    <w:p>
      <w:pPr>
        <w:pStyle w:val="44"/>
        <w:numPr>
          <w:ilvl w:val="0"/>
          <w:numId w:val="9"/>
        </w:numPr>
        <w:spacing w:line="360" w:lineRule="auto"/>
        <w:ind w:left="1134" w:firstLineChars="0"/>
        <w:rPr>
          <w:rFonts w:asciiTheme="minorEastAsia" w:hAnsiTheme="minorEastAsia"/>
          <w:sz w:val="24"/>
          <w:szCs w:val="28"/>
        </w:rPr>
      </w:pPr>
      <w:r>
        <w:rPr>
          <w:rFonts w:hint="eastAsia" w:asciiTheme="minorEastAsia" w:hAnsiTheme="minorEastAsia"/>
          <w:sz w:val="24"/>
          <w:szCs w:val="28"/>
        </w:rPr>
        <w:t>实现审计检索高效化：做到对命令操作的文本化审计、对图形操作的ocr识别和检索定位、对数据库操作的SQL语句还原等。遇到问题时可以快速检索到相关日志并定位问题。</w:t>
      </w:r>
    </w:p>
    <w:p>
      <w:pPr>
        <w:pStyle w:val="46"/>
        <w:numPr>
          <w:ilvl w:val="0"/>
          <w:numId w:val="8"/>
        </w:numPr>
      </w:pPr>
      <w:bookmarkStart w:id="7" w:name="_Toc140011106"/>
      <w:bookmarkStart w:id="8" w:name="_Toc140137033"/>
      <w:bookmarkStart w:id="9" w:name="_Toc162270045"/>
      <w:r>
        <w:rPr>
          <w:rFonts w:hint="eastAsia"/>
        </w:rPr>
        <w:t>需求实现</w:t>
      </w:r>
      <w:bookmarkEnd w:id="7"/>
      <w:bookmarkEnd w:id="8"/>
      <w:bookmarkEnd w:id="9"/>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根据以上对X</w:t>
      </w:r>
      <w:r>
        <w:rPr>
          <w:rFonts w:asciiTheme="minorEastAsia" w:hAnsiTheme="minorEastAsia"/>
          <w:sz w:val="24"/>
          <w:szCs w:val="24"/>
        </w:rPr>
        <w:t>XXXXXX</w:t>
      </w:r>
      <w:r>
        <w:rPr>
          <w:rFonts w:hint="eastAsia" w:asciiTheme="minorEastAsia" w:hAnsiTheme="minorEastAsia"/>
          <w:sz w:val="24"/>
          <w:szCs w:val="24"/>
        </w:rPr>
        <w:t>公司运维需求的分析，以及对运维安全审计产品的技术要求，我们提出如下实现方式：</w:t>
      </w:r>
    </w:p>
    <w:p>
      <w:pPr>
        <w:pStyle w:val="12"/>
        <w:numPr>
          <w:ilvl w:val="0"/>
          <w:numId w:val="10"/>
        </w:numPr>
        <w:spacing w:before="120"/>
        <w:ind w:firstLineChars="0"/>
        <w:rPr>
          <w:rFonts w:asciiTheme="minorEastAsia" w:hAnsiTheme="minorEastAsia" w:eastAsiaTheme="minorEastAsia"/>
        </w:rPr>
      </w:pPr>
      <w:r>
        <w:rPr>
          <w:rFonts w:hint="eastAsia" w:asciiTheme="minorEastAsia" w:hAnsiTheme="minorEastAsia" w:eastAsiaTheme="minorEastAsia"/>
        </w:rPr>
        <w:t>通过部署360运维安全管理系统，实现对数据中心的集中运维管理。通过强制的安全策略对运维管理人员进行身份认证，对承载关键业务的后台服务器帐号进行统一管理，对运维操作进行授权和访问控制，对所有运维操作内容进行完整记录，实现事前预防、事中控制和事后审计。</w:t>
      </w:r>
    </w:p>
    <w:p>
      <w:pPr>
        <w:pStyle w:val="12"/>
        <w:numPr>
          <w:ilvl w:val="0"/>
          <w:numId w:val="10"/>
        </w:numPr>
        <w:spacing w:before="120"/>
        <w:ind w:firstLineChars="0"/>
        <w:rPr>
          <w:rFonts w:asciiTheme="minorEastAsia" w:hAnsiTheme="minorEastAsia" w:eastAsiaTheme="minorEastAsia"/>
        </w:rPr>
      </w:pPr>
      <w:r>
        <w:rPr>
          <w:rFonts w:hint="eastAsia" w:asciiTheme="minorEastAsia" w:hAnsiTheme="minorEastAsia" w:eastAsiaTheme="minorEastAsia"/>
        </w:rPr>
        <w:t>相关运维人员通过登录审计平台之后即可以对该人员有权限操作的设备进行相关操作，而不需要知道该设备的物理位置或其他信息。整个过程输入登录运维审计平台的账号密码及其他信息后即可，无需其他过程。</w:t>
      </w:r>
    </w:p>
    <w:p>
      <w:pPr>
        <w:pStyle w:val="12"/>
        <w:numPr>
          <w:ilvl w:val="0"/>
          <w:numId w:val="10"/>
        </w:numPr>
        <w:spacing w:before="120"/>
        <w:ind w:firstLineChars="0"/>
        <w:rPr>
          <w:rFonts w:asciiTheme="minorEastAsia" w:hAnsiTheme="minorEastAsia" w:eastAsiaTheme="minorEastAsia"/>
        </w:rPr>
      </w:pPr>
      <w:r>
        <w:rPr>
          <w:rFonts w:hint="eastAsia" w:asciiTheme="minorEastAsia" w:hAnsiTheme="minorEastAsia" w:eastAsiaTheme="minorEastAsia"/>
        </w:rPr>
        <w:t>运维账号的全部管理工作均由运维审计系统统一完成。由管理员或其他具备运维账号管理权限的人员完成该工作。人员或其他临时需要通过运维审计系统进行相关操作时，均需要统一通过运维审计系统进行账号的添加、授权、有效期设置等管理工作。当发生人员离岗、变更、密码遗忘或其他任何与运维账号相关的管理工作均由运维审计系统进行统一管理和设置。</w:t>
      </w:r>
    </w:p>
    <w:p>
      <w:pPr>
        <w:pStyle w:val="12"/>
        <w:numPr>
          <w:ilvl w:val="0"/>
          <w:numId w:val="10"/>
        </w:numPr>
        <w:spacing w:before="120"/>
        <w:ind w:firstLineChars="0"/>
        <w:rPr>
          <w:rFonts w:asciiTheme="minorEastAsia" w:hAnsiTheme="minorEastAsia" w:eastAsiaTheme="minorEastAsia"/>
        </w:rPr>
      </w:pPr>
      <w:r>
        <w:rPr>
          <w:rFonts w:hint="eastAsia" w:asciiTheme="minorEastAsia" w:hAnsiTheme="minorEastAsia" w:eastAsiaTheme="minorEastAsia"/>
        </w:rPr>
        <w:t>通过360运维安全管理系统，支持telnet、ssh、rdp、ftp、sftp等常用运维协议及运维工具，提供对字符终端运维、图形终端运维、文件传输运维的支持。例如：secureCRT、Netterm。除支持所要求的linux、windows系统及telnet、ssh、rdp、ftp、sftp等运维协议外，还可支持数据库运维、Web运维等。</w:t>
      </w:r>
    </w:p>
    <w:p>
      <w:pPr>
        <w:pStyle w:val="12"/>
        <w:numPr>
          <w:ilvl w:val="0"/>
          <w:numId w:val="10"/>
        </w:numPr>
        <w:spacing w:before="120"/>
        <w:ind w:firstLineChars="0"/>
        <w:rPr>
          <w:rFonts w:asciiTheme="minorEastAsia" w:hAnsiTheme="minorEastAsia" w:eastAsiaTheme="minorEastAsia"/>
        </w:rPr>
      </w:pPr>
      <w:r>
        <w:rPr>
          <w:rFonts w:hint="eastAsia" w:asciiTheme="minorEastAsia" w:hAnsiTheme="minorEastAsia" w:eastAsiaTheme="minorEastAsia"/>
        </w:rPr>
        <w:t>通过360运维安全管理系统集中管理后台所有服务器资产及帐号，并据此实现基于人、登录地址、时间、目标服务器、使用的服务器帐号、操作命令等进行细粒度的权限控制，确保合法访问。</w:t>
      </w:r>
    </w:p>
    <w:p>
      <w:pPr>
        <w:pStyle w:val="12"/>
        <w:numPr>
          <w:ilvl w:val="0"/>
          <w:numId w:val="10"/>
        </w:numPr>
        <w:spacing w:before="120"/>
        <w:ind w:firstLineChars="0"/>
        <w:rPr>
          <w:rFonts w:asciiTheme="minorEastAsia" w:hAnsiTheme="minorEastAsia" w:eastAsiaTheme="minorEastAsia"/>
        </w:rPr>
      </w:pPr>
      <w:r>
        <w:rPr>
          <w:rFonts w:hint="eastAsia" w:asciiTheme="minorEastAsia" w:hAnsiTheme="minorEastAsia" w:eastAsiaTheme="minorEastAsia"/>
        </w:rPr>
        <w:t>通过360运维安全管理系统集中管理后台所有服务器账户密码，以加密形式存放。为落实密码管理制度，通过自动改密计划实现密码定期自动修改。</w:t>
      </w:r>
    </w:p>
    <w:p>
      <w:pPr>
        <w:pStyle w:val="12"/>
        <w:numPr>
          <w:ilvl w:val="0"/>
          <w:numId w:val="10"/>
        </w:numPr>
        <w:spacing w:before="120"/>
        <w:ind w:firstLineChars="0"/>
        <w:rPr>
          <w:rFonts w:asciiTheme="minorEastAsia" w:hAnsiTheme="minorEastAsia" w:eastAsiaTheme="minorEastAsia"/>
        </w:rPr>
      </w:pPr>
      <w:r>
        <w:rPr>
          <w:rFonts w:hint="eastAsia" w:asciiTheme="minorEastAsia" w:hAnsiTheme="minorEastAsia" w:eastAsiaTheme="minorEastAsia"/>
        </w:rPr>
        <w:t>系统的授权及访问控制通过安全策略实现，策略可基于访问人员、访问地址、访问时间、访问对象、运维账号、操作命令等要素进行细粒度的控制，策略可设置为：：拒绝、接受、告警。对于告警策略，可通过邮件、短信发送给管理员，在监控状态下，对危险命令可实时阻断。</w:t>
      </w:r>
    </w:p>
    <w:p>
      <w:pPr>
        <w:pStyle w:val="12"/>
        <w:numPr>
          <w:ilvl w:val="0"/>
          <w:numId w:val="10"/>
        </w:numPr>
        <w:spacing w:before="120"/>
        <w:ind w:firstLineChars="0"/>
        <w:rPr>
          <w:rFonts w:asciiTheme="minorEastAsia" w:hAnsiTheme="minorEastAsia" w:eastAsiaTheme="minorEastAsia"/>
        </w:rPr>
      </w:pPr>
      <w:r>
        <w:rPr>
          <w:rFonts w:hint="eastAsia" w:asciiTheme="minorEastAsia" w:hAnsiTheme="minorEastAsia" w:eastAsiaTheme="minorEastAsia"/>
        </w:rPr>
        <w:t>为对运维操作进行完整的审计，系统完整记录运维操作全过程，包括配置管理内容和运维操作内容；系统提供字符操作审计、图形操作审计方式；对于字符方式，可按日志方式浏览、按条件检索、按播放器方式快速播放；对于图形方式，提供播放器方式回放录像，并可与操作条件关联，快速定位可疑事件。</w:t>
      </w:r>
    </w:p>
    <w:p>
      <w:pPr>
        <w:pStyle w:val="12"/>
        <w:numPr>
          <w:ilvl w:val="0"/>
          <w:numId w:val="10"/>
        </w:numPr>
        <w:spacing w:before="120"/>
        <w:ind w:firstLineChars="0"/>
        <w:rPr>
          <w:rFonts w:asciiTheme="minorEastAsia" w:hAnsiTheme="minorEastAsia" w:eastAsiaTheme="minorEastAsia"/>
        </w:rPr>
      </w:pPr>
      <w:r>
        <w:rPr>
          <w:rFonts w:hint="eastAsia" w:asciiTheme="minorEastAsia" w:hAnsiTheme="minorEastAsia" w:eastAsiaTheme="minorEastAsia"/>
        </w:rPr>
        <w:t>由于实现强制的集中运维管理，运维安全审计产品自身安全就成为极为重要的因素，因此必须保障产品自身安全。360运维安全管理系统通过加密https管理、证书管理、内部组件加密通信、数据文件加密存储等措施保证自身安全性、保密性、完整性。</w:t>
      </w:r>
    </w:p>
    <w:p>
      <w:pPr>
        <w:pStyle w:val="46"/>
        <w:numPr>
          <w:ilvl w:val="0"/>
          <w:numId w:val="8"/>
        </w:numPr>
      </w:pPr>
      <w:bookmarkStart w:id="10" w:name="_Toc140011107"/>
      <w:bookmarkStart w:id="11" w:name="_Toc140137034"/>
      <w:bookmarkStart w:id="12" w:name="_Toc162270046"/>
      <w:r>
        <w:rPr>
          <w:rFonts w:hint="eastAsia"/>
        </w:rPr>
        <w:t>方案组网</w:t>
      </w:r>
      <w:bookmarkEnd w:id="10"/>
      <w:bookmarkEnd w:id="11"/>
      <w:bookmarkEnd w:id="12"/>
    </w:p>
    <w:p>
      <w:pPr>
        <w:jc w:val="center"/>
        <w:rPr>
          <w:rFonts w:asciiTheme="minorEastAsia" w:hAnsiTheme="minorEastAsia"/>
        </w:rPr>
      </w:pPr>
      <w:r>
        <w:drawing>
          <wp:inline distT="0" distB="0" distL="0" distR="0">
            <wp:extent cx="4730115" cy="3596005"/>
            <wp:effectExtent l="0" t="0" r="0" b="4445"/>
            <wp:docPr id="6144" name="图片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 name="图片 6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732531" cy="3597902"/>
                    </a:xfrm>
                    <a:prstGeom prst="rect">
                      <a:avLst/>
                    </a:prstGeom>
                    <a:noFill/>
                    <a:ln>
                      <a:noFill/>
                    </a:ln>
                  </pic:spPr>
                </pic:pic>
              </a:graphicData>
            </a:graphic>
          </wp:inline>
        </w:drawing>
      </w:r>
    </w:p>
    <w:p>
      <w:pPr>
        <w:pStyle w:val="31"/>
        <w:spacing w:before="0" w:beforeAutospacing="0" w:after="0" w:afterAutospacing="0" w:line="360" w:lineRule="auto"/>
        <w:ind w:firstLine="480"/>
        <w:rPr>
          <w:rFonts w:asciiTheme="minorEastAsia" w:hAnsiTheme="minorEastAsia" w:eastAsiaTheme="minorEastAsia"/>
        </w:rPr>
      </w:pPr>
      <w:r>
        <w:rPr>
          <w:rFonts w:hint="eastAsia" w:asciiTheme="minorEastAsia" w:hAnsiTheme="minorEastAsia" w:eastAsiaTheme="minorEastAsia"/>
        </w:rPr>
        <w:t>部署</w:t>
      </w:r>
      <w:r>
        <w:rPr>
          <w:rFonts w:asciiTheme="minorEastAsia" w:hAnsiTheme="minorEastAsia" w:eastAsiaTheme="minorEastAsia"/>
        </w:rPr>
        <w:t>360运维安全管理系统</w:t>
      </w:r>
      <w:r>
        <w:rPr>
          <w:rFonts w:hint="eastAsia" w:asciiTheme="minorEastAsia" w:hAnsiTheme="minorEastAsia" w:eastAsiaTheme="minorEastAsia"/>
        </w:rPr>
        <w:t>后系统将断开操作用户与目标服务器之间的直接连接。用户对服务器的远程操作全部集中登录到</w:t>
      </w:r>
      <w:r>
        <w:rPr>
          <w:rFonts w:asciiTheme="minorEastAsia" w:hAnsiTheme="minorEastAsia" w:eastAsiaTheme="minorEastAsia"/>
        </w:rPr>
        <w:t>统一安全管理和综合审计系统</w:t>
      </w:r>
      <w:r>
        <w:rPr>
          <w:rFonts w:hint="eastAsia" w:asciiTheme="minorEastAsia" w:hAnsiTheme="minorEastAsia" w:eastAsiaTheme="minorEastAsia"/>
        </w:rPr>
        <w:t>上，通过二次跳转系统将用户直接连接到指定服务器，实现用户对服务器资源操作管理的集中认证、集中控制、集中审计。</w:t>
      </w:r>
    </w:p>
    <w:p>
      <w:pPr>
        <w:pStyle w:val="12"/>
        <w:spacing w:before="120"/>
        <w:ind w:firstLine="410"/>
        <w:rPr>
          <w:rFonts w:asciiTheme="minorEastAsia" w:hAnsiTheme="minorEastAsia" w:eastAsiaTheme="minorEastAsia"/>
        </w:rPr>
      </w:pPr>
      <w:r>
        <w:rPr>
          <w:rFonts w:hint="eastAsia" w:asciiTheme="minorEastAsia" w:hAnsiTheme="minorEastAsia" w:eastAsiaTheme="minorEastAsia"/>
        </w:rPr>
        <w:t>此部署方案遵循高可用和高扩展性的原则，根据业务的需求，部署方案可以灵活调整为双机热备部署、集群部署、分布式部署、虚拟化部署等方案。</w:t>
      </w:r>
    </w:p>
    <w:p>
      <w:pPr>
        <w:pStyle w:val="47"/>
      </w:pPr>
      <w:bookmarkStart w:id="13" w:name="_Toc461958765"/>
      <w:bookmarkStart w:id="14" w:name="_Toc140137036"/>
      <w:bookmarkStart w:id="15" w:name="_Toc140011108"/>
      <w:bookmarkStart w:id="16" w:name="_Toc162270047"/>
      <w:r>
        <w:rPr>
          <w:rFonts w:hint="eastAsia"/>
        </w:rPr>
        <w:t>产品介绍</w:t>
      </w:r>
      <w:bookmarkEnd w:id="13"/>
      <w:bookmarkEnd w:id="14"/>
      <w:bookmarkEnd w:id="15"/>
      <w:bookmarkEnd w:id="16"/>
    </w:p>
    <w:p>
      <w:pPr>
        <w:pStyle w:val="31"/>
        <w:spacing w:before="0" w:beforeAutospacing="0" w:after="0" w:afterAutospacing="0" w:line="360" w:lineRule="auto"/>
        <w:ind w:firstLine="480"/>
        <w:rPr>
          <w:rFonts w:asciiTheme="minorEastAsia" w:hAnsiTheme="minorEastAsia" w:eastAsiaTheme="minorEastAsia"/>
        </w:rPr>
      </w:pPr>
      <w:r>
        <w:rPr>
          <w:rFonts w:asciiTheme="minorEastAsia" w:hAnsiTheme="minorEastAsia" w:eastAsiaTheme="minorEastAsia"/>
        </w:rPr>
        <w:t>360运维安全管理系统，通过规范运维权限管理、严密运维过程控制、透明化运维操作过程等手段，对运维工作中的人为风险进行防范、规避。</w:t>
      </w:r>
    </w:p>
    <w:p>
      <w:pPr>
        <w:pStyle w:val="31"/>
        <w:spacing w:before="0" w:beforeAutospacing="0" w:after="0" w:afterAutospacing="0" w:line="360" w:lineRule="auto"/>
        <w:ind w:firstLine="480"/>
        <w:rPr>
          <w:rFonts w:asciiTheme="minorEastAsia" w:hAnsiTheme="minorEastAsia" w:eastAsiaTheme="minorEastAsia"/>
        </w:rPr>
      </w:pPr>
      <w:r>
        <w:rPr>
          <w:rFonts w:asciiTheme="minorEastAsia" w:hAnsiTheme="minorEastAsia" w:eastAsiaTheme="minorEastAsia"/>
        </w:rPr>
        <w:t>从管理角度来看，360运维安全管理系统是企业内部运维管理制度和规范的技术化落实平台。通过统一运维入口、统一身份认证、统一资源管理、统一权限管理和统一过程审计等一系列手段，将制度落于实处；通过技术手段硬性规范了运维操作的流程，控制人为风险，提高IT系统整体可用性。</w:t>
      </w:r>
    </w:p>
    <w:p>
      <w:pPr>
        <w:pStyle w:val="31"/>
        <w:spacing w:before="0" w:beforeAutospacing="0" w:after="0" w:afterAutospacing="0" w:line="360" w:lineRule="auto"/>
        <w:ind w:firstLine="480"/>
        <w:rPr>
          <w:rFonts w:asciiTheme="minorEastAsia" w:hAnsiTheme="minorEastAsia" w:eastAsiaTheme="minorEastAsia"/>
        </w:rPr>
      </w:pPr>
      <w:r>
        <w:rPr>
          <w:rFonts w:asciiTheme="minorEastAsia" w:hAnsiTheme="minorEastAsia" w:eastAsiaTheme="minorEastAsia"/>
        </w:rPr>
        <w:t>360运维安全管理系统以集中监控、SSO 单点登录和身份认证为基础，实现对以SSH，TELNET，FTP，SCP、SFTP、RDP、VNC、X11、HTTP、HTTPS等工具对服务器资源进行操作管理行为的统一入口、统一认证、统一授权、统一审计；实现对ORACLE</w:t>
      </w:r>
      <w:r>
        <w:rPr>
          <w:rFonts w:hint="eastAsia" w:asciiTheme="minorEastAsia" w:hAnsiTheme="minorEastAsia" w:eastAsiaTheme="minorEastAsia"/>
        </w:rPr>
        <w:t>、</w:t>
      </w:r>
      <w:r>
        <w:rPr>
          <w:rFonts w:asciiTheme="minorEastAsia" w:hAnsiTheme="minorEastAsia" w:eastAsiaTheme="minorEastAsia"/>
        </w:rPr>
        <w:t>SYBASE</w:t>
      </w:r>
      <w:r>
        <w:rPr>
          <w:rFonts w:hint="eastAsia" w:asciiTheme="minorEastAsia" w:hAnsiTheme="minorEastAsia" w:eastAsiaTheme="minorEastAsia"/>
        </w:rPr>
        <w:t>、</w:t>
      </w:r>
      <w:r>
        <w:rPr>
          <w:rFonts w:asciiTheme="minorEastAsia" w:hAnsiTheme="minorEastAsia" w:eastAsiaTheme="minorEastAsia"/>
        </w:rPr>
        <w:t>MS SQL</w:t>
      </w:r>
      <w:r>
        <w:rPr>
          <w:rFonts w:hint="eastAsia" w:asciiTheme="minorEastAsia" w:hAnsiTheme="minorEastAsia" w:eastAsiaTheme="minorEastAsia"/>
        </w:rPr>
        <w:t>、</w:t>
      </w:r>
      <w:r>
        <w:rPr>
          <w:rFonts w:asciiTheme="minorEastAsia" w:hAnsiTheme="minorEastAsia" w:eastAsiaTheme="minorEastAsia"/>
        </w:rPr>
        <w:t>DB2</w:t>
      </w:r>
      <w:r>
        <w:rPr>
          <w:rFonts w:hint="eastAsia" w:asciiTheme="minorEastAsia" w:hAnsiTheme="minorEastAsia" w:eastAsiaTheme="minorEastAsia"/>
        </w:rPr>
        <w:t>、</w:t>
      </w:r>
      <w:r>
        <w:rPr>
          <w:rFonts w:asciiTheme="minorEastAsia" w:hAnsiTheme="minorEastAsia" w:eastAsiaTheme="minorEastAsia"/>
        </w:rPr>
        <w:t>INFORMIX</w:t>
      </w:r>
      <w:r>
        <w:rPr>
          <w:rFonts w:hint="eastAsia" w:asciiTheme="minorEastAsia" w:hAnsiTheme="minorEastAsia" w:eastAsiaTheme="minorEastAsia"/>
        </w:rPr>
        <w:t>、</w:t>
      </w:r>
      <w:r>
        <w:rPr>
          <w:rFonts w:asciiTheme="minorEastAsia" w:hAnsiTheme="minorEastAsia" w:eastAsiaTheme="minorEastAsia"/>
        </w:rPr>
        <w:t>MYSQL</w:t>
      </w:r>
      <w:r>
        <w:rPr>
          <w:rFonts w:hint="eastAsia" w:asciiTheme="minorEastAsia" w:hAnsiTheme="minorEastAsia" w:eastAsiaTheme="minorEastAsia"/>
        </w:rPr>
        <w:t>、国产数据库</w:t>
      </w:r>
      <w:r>
        <w:rPr>
          <w:rFonts w:asciiTheme="minorEastAsia" w:hAnsiTheme="minorEastAsia" w:eastAsiaTheme="minorEastAsia"/>
        </w:rPr>
        <w:t>等数据库</w:t>
      </w:r>
      <w:r>
        <w:rPr>
          <w:rFonts w:hint="eastAsia" w:asciiTheme="minorEastAsia" w:hAnsiTheme="minorEastAsia" w:eastAsiaTheme="minorEastAsia"/>
        </w:rPr>
        <w:t>的</w:t>
      </w:r>
      <w:r>
        <w:rPr>
          <w:rFonts w:asciiTheme="minorEastAsia" w:hAnsiTheme="minorEastAsia" w:eastAsiaTheme="minorEastAsia"/>
        </w:rPr>
        <w:t>操作的集中审计和控制；实现企业环境业务应用运维、IP KVM控制台运维的集中审计和控制。</w:t>
      </w:r>
      <w:bookmarkStart w:id="17" w:name="_Toc343876359"/>
      <w:bookmarkStart w:id="18" w:name="_Toc461630364"/>
    </w:p>
    <w:bookmarkEnd w:id="17"/>
    <w:bookmarkEnd w:id="18"/>
    <w:p>
      <w:pPr>
        <w:widowControl/>
        <w:spacing w:after="156" w:line="360" w:lineRule="auto"/>
        <w:ind w:firstLine="420"/>
        <w:jc w:val="left"/>
        <w:rPr>
          <w:rFonts w:asciiTheme="minorEastAsia" w:hAnsiTheme="minorEastAsia"/>
          <w:sz w:val="24"/>
        </w:rPr>
      </w:pPr>
      <w:r>
        <w:rPr>
          <w:rFonts w:hint="eastAsia" w:asciiTheme="minorEastAsia" w:hAnsiTheme="minorEastAsia"/>
          <w:sz w:val="24"/>
        </w:rPr>
        <w:t>结合ITIL、ITSM、</w:t>
      </w:r>
      <w:r>
        <w:rPr>
          <w:rFonts w:asciiTheme="minorEastAsia" w:hAnsiTheme="minorEastAsia"/>
          <w:sz w:val="24"/>
        </w:rPr>
        <w:t xml:space="preserve">IT </w:t>
      </w:r>
      <w:r>
        <w:rPr>
          <w:rFonts w:hint="eastAsia" w:asciiTheme="minorEastAsia" w:hAnsiTheme="minorEastAsia"/>
          <w:sz w:val="24"/>
        </w:rPr>
        <w:t>内控、</w:t>
      </w:r>
      <w:r>
        <w:rPr>
          <w:rFonts w:asciiTheme="minorEastAsia" w:hAnsiTheme="minorEastAsia"/>
          <w:sz w:val="24"/>
        </w:rPr>
        <w:t>SOX</w:t>
      </w:r>
      <w:r>
        <w:rPr>
          <w:rFonts w:hint="eastAsia" w:asciiTheme="minorEastAsia" w:hAnsiTheme="minorEastAsia"/>
          <w:sz w:val="24"/>
        </w:rPr>
        <w:t>法案</w:t>
      </w:r>
      <w:r>
        <w:rPr>
          <w:rFonts w:asciiTheme="minorEastAsia" w:hAnsiTheme="minorEastAsia"/>
          <w:sz w:val="24"/>
        </w:rPr>
        <w:t xml:space="preserve">\COBIT </w:t>
      </w:r>
      <w:r>
        <w:rPr>
          <w:rFonts w:hint="eastAsia" w:asciiTheme="minorEastAsia" w:hAnsiTheme="minorEastAsia"/>
          <w:sz w:val="24"/>
        </w:rPr>
        <w:t>法规、信息安全等级保护及IT运维管理要求和技术的不断创新，在不更改原有网络拓扑结构、不影响服务器的业务数据流、不需要在被保护服务器和终端上安装任何</w:t>
      </w:r>
      <w:r>
        <w:rPr>
          <w:rFonts w:asciiTheme="minorEastAsia" w:hAnsiTheme="minorEastAsia"/>
          <w:sz w:val="24"/>
        </w:rPr>
        <w:t>Agent</w:t>
      </w:r>
      <w:r>
        <w:rPr>
          <w:rFonts w:hint="eastAsia" w:asciiTheme="minorEastAsia" w:hAnsiTheme="minorEastAsia"/>
          <w:sz w:val="24"/>
        </w:rPr>
        <w:t>的情况下，满足用户对企业“人机”交互、企业“应用”交付的集中管理、集中认证、集中控制、集中审计等一系列安全需求。</w:t>
      </w:r>
    </w:p>
    <w:p>
      <w:pPr>
        <w:widowControl/>
        <w:spacing w:after="156" w:line="360" w:lineRule="auto"/>
        <w:ind w:firstLine="420"/>
        <w:jc w:val="left"/>
        <w:rPr>
          <w:rFonts w:cs="宋体" w:asciiTheme="minorEastAsia" w:hAnsiTheme="minorEastAsia"/>
          <w:sz w:val="24"/>
        </w:rPr>
      </w:pPr>
      <w:r>
        <w:rPr>
          <w:rFonts w:hint="eastAsia" w:asciiTheme="minorEastAsia" w:hAnsiTheme="minorEastAsia"/>
          <w:sz w:val="24"/>
        </w:rPr>
        <w:t>360运维安全管理系统系列产品以集中监控、</w:t>
      </w:r>
      <w:r>
        <w:rPr>
          <w:rFonts w:asciiTheme="minorEastAsia" w:hAnsiTheme="minorEastAsia"/>
          <w:sz w:val="24"/>
        </w:rPr>
        <w:t xml:space="preserve">SSO </w:t>
      </w:r>
      <w:r>
        <w:rPr>
          <w:rFonts w:hint="eastAsia" w:asciiTheme="minorEastAsia" w:hAnsiTheme="minorEastAsia"/>
          <w:sz w:val="24"/>
        </w:rPr>
        <w:t>单点登录和身份认证为基础，实现对以</w:t>
      </w:r>
      <w:r>
        <w:rPr>
          <w:rFonts w:asciiTheme="minorEastAsia" w:hAnsiTheme="minorEastAsia"/>
          <w:sz w:val="24"/>
        </w:rPr>
        <w:t>SSH</w:t>
      </w:r>
      <w:r>
        <w:rPr>
          <w:rFonts w:hint="eastAsia" w:asciiTheme="minorEastAsia" w:hAnsiTheme="minorEastAsia"/>
          <w:sz w:val="24"/>
        </w:rPr>
        <w:t>，</w:t>
      </w:r>
      <w:r>
        <w:rPr>
          <w:rFonts w:asciiTheme="minorEastAsia" w:hAnsiTheme="minorEastAsia"/>
          <w:sz w:val="24"/>
        </w:rPr>
        <w:t>TELNET</w:t>
      </w:r>
      <w:r>
        <w:rPr>
          <w:rFonts w:hint="eastAsia" w:asciiTheme="minorEastAsia" w:hAnsiTheme="minorEastAsia"/>
          <w:sz w:val="24"/>
        </w:rPr>
        <w:t>，</w:t>
      </w:r>
      <w:r>
        <w:rPr>
          <w:rFonts w:asciiTheme="minorEastAsia" w:hAnsiTheme="minorEastAsia"/>
          <w:sz w:val="24"/>
        </w:rPr>
        <w:t>FTP</w:t>
      </w:r>
      <w:r>
        <w:rPr>
          <w:rFonts w:hint="eastAsia" w:asciiTheme="minorEastAsia" w:hAnsiTheme="minorEastAsia"/>
          <w:sz w:val="24"/>
        </w:rPr>
        <w:t>，</w:t>
      </w:r>
      <w:r>
        <w:rPr>
          <w:rFonts w:asciiTheme="minorEastAsia" w:hAnsiTheme="minorEastAsia"/>
          <w:sz w:val="24"/>
        </w:rPr>
        <w:t>SCP</w:t>
      </w:r>
      <w:r>
        <w:rPr>
          <w:rFonts w:hint="eastAsia" w:asciiTheme="minorEastAsia" w:hAnsiTheme="minorEastAsia"/>
          <w:sz w:val="24"/>
        </w:rPr>
        <w:t>、</w:t>
      </w:r>
      <w:r>
        <w:rPr>
          <w:rFonts w:asciiTheme="minorEastAsia" w:hAnsiTheme="minorEastAsia"/>
          <w:sz w:val="24"/>
        </w:rPr>
        <w:t>SFTP</w:t>
      </w:r>
      <w:r>
        <w:rPr>
          <w:rFonts w:hint="eastAsia" w:asciiTheme="minorEastAsia" w:hAnsiTheme="minorEastAsia"/>
          <w:sz w:val="24"/>
        </w:rPr>
        <w:t>、</w:t>
      </w:r>
      <w:r>
        <w:rPr>
          <w:rFonts w:asciiTheme="minorEastAsia" w:hAnsiTheme="minorEastAsia"/>
          <w:sz w:val="24"/>
        </w:rPr>
        <w:t>RDP</w:t>
      </w:r>
      <w:r>
        <w:rPr>
          <w:rFonts w:hint="eastAsia" w:asciiTheme="minorEastAsia" w:hAnsiTheme="minorEastAsia"/>
          <w:sz w:val="24"/>
        </w:rPr>
        <w:t>、</w:t>
      </w:r>
      <w:r>
        <w:rPr>
          <w:rFonts w:asciiTheme="minorEastAsia" w:hAnsiTheme="minorEastAsia"/>
          <w:sz w:val="24"/>
        </w:rPr>
        <w:t>VNC</w:t>
      </w:r>
      <w:r>
        <w:rPr>
          <w:rFonts w:hint="eastAsia" w:asciiTheme="minorEastAsia" w:hAnsiTheme="minorEastAsia"/>
          <w:sz w:val="24"/>
        </w:rPr>
        <w:t>、</w:t>
      </w:r>
      <w:r>
        <w:rPr>
          <w:rFonts w:asciiTheme="minorEastAsia" w:hAnsiTheme="minorEastAsia"/>
          <w:sz w:val="24"/>
        </w:rPr>
        <w:t>X</w:t>
      </w:r>
      <w:r>
        <w:rPr>
          <w:rFonts w:hint="eastAsia" w:asciiTheme="minorEastAsia" w:hAnsiTheme="minorEastAsia"/>
          <w:sz w:val="24"/>
        </w:rPr>
        <w:t>11、HTTP、HTTPS等工具对服务器资源进行操作管理行为的统一认证、统一授权、统一审计；实现对</w:t>
      </w:r>
      <w:r>
        <w:rPr>
          <w:rFonts w:asciiTheme="minorEastAsia" w:hAnsiTheme="minorEastAsia"/>
          <w:sz w:val="24"/>
        </w:rPr>
        <w:t>ORACLE</w:t>
      </w:r>
      <w:r>
        <w:rPr>
          <w:rFonts w:hint="eastAsia" w:asciiTheme="minorEastAsia" w:hAnsiTheme="minorEastAsia"/>
          <w:sz w:val="24"/>
        </w:rPr>
        <w:t>，</w:t>
      </w:r>
      <w:r>
        <w:rPr>
          <w:rFonts w:asciiTheme="minorEastAsia" w:hAnsiTheme="minorEastAsia"/>
          <w:sz w:val="24"/>
        </w:rPr>
        <w:t>SYBASE</w:t>
      </w:r>
      <w:r>
        <w:rPr>
          <w:rFonts w:hint="eastAsia" w:asciiTheme="minorEastAsia" w:hAnsiTheme="minorEastAsia"/>
          <w:sz w:val="24"/>
        </w:rPr>
        <w:t>，</w:t>
      </w:r>
      <w:r>
        <w:rPr>
          <w:rFonts w:asciiTheme="minorEastAsia" w:hAnsiTheme="minorEastAsia"/>
          <w:sz w:val="24"/>
        </w:rPr>
        <w:t>MS SQL</w:t>
      </w:r>
      <w:r>
        <w:rPr>
          <w:rFonts w:hint="eastAsia" w:asciiTheme="minorEastAsia" w:hAnsiTheme="minorEastAsia"/>
          <w:sz w:val="24"/>
        </w:rPr>
        <w:t>，DB2，</w:t>
      </w:r>
      <w:r>
        <w:rPr>
          <w:rFonts w:asciiTheme="minorEastAsia" w:hAnsiTheme="minorEastAsia"/>
          <w:sz w:val="24"/>
        </w:rPr>
        <w:t>INFORMIX</w:t>
      </w:r>
      <w:r>
        <w:rPr>
          <w:rFonts w:hint="eastAsia" w:asciiTheme="minorEastAsia" w:hAnsiTheme="minorEastAsia"/>
          <w:sz w:val="24"/>
        </w:rPr>
        <w:t>，MYSQL、达梦、金仓、oceanbase、Gbase等商业数据库操作的集中审计和控制；实现企业环境业务应用运维、IP KVM控制台运维的集中审计和控制。</w:t>
      </w:r>
    </w:p>
    <w:p>
      <w:pPr>
        <w:spacing w:after="156" w:line="360" w:lineRule="auto"/>
        <w:ind w:firstLine="360"/>
        <w:rPr>
          <w:rFonts w:asciiTheme="minorEastAsia" w:hAnsiTheme="minorEastAsia"/>
          <w:sz w:val="24"/>
        </w:rPr>
      </w:pPr>
      <w:r>
        <w:rPr>
          <w:rFonts w:hint="eastAsia" w:asciiTheme="minorEastAsia" w:hAnsiTheme="minorEastAsia"/>
          <w:sz w:val="24"/>
        </w:rPr>
        <w:t>部署360运维安全管理系统（以下简称360运维安全管理系统）后系统将断开操作用户与目标服务器之间的直接连接。用户对服务器的远程操作全部集中登录到360运维安全管理系统上，通过二次跳转系统将用户直接连接到指定服务器，实现用户对服务器资源操作管理的集中人证、集中控制、集中审计。</w:t>
      </w:r>
    </w:p>
    <w:p>
      <w:pPr>
        <w:widowControl/>
        <w:spacing w:after="156" w:line="360" w:lineRule="auto"/>
        <w:ind w:firstLine="420"/>
        <w:jc w:val="center"/>
        <w:rPr>
          <w:rFonts w:asciiTheme="minorEastAsia" w:hAnsiTheme="minorEastAsia"/>
          <w:sz w:val="24"/>
        </w:rPr>
      </w:pPr>
      <w:r>
        <w:rPr>
          <w:rFonts w:hint="eastAsia" w:asciiTheme="minorEastAsia" w:hAnsiTheme="minorEastAsia"/>
          <w:sz w:val="24"/>
        </w:rPr>
        <w:drawing>
          <wp:inline distT="0" distB="0" distL="0" distR="0">
            <wp:extent cx="4267200" cy="29051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267200" cy="2905125"/>
                    </a:xfrm>
                    <a:prstGeom prst="rect">
                      <a:avLst/>
                    </a:prstGeom>
                    <a:noFill/>
                    <a:ln>
                      <a:noFill/>
                    </a:ln>
                  </pic:spPr>
                </pic:pic>
              </a:graphicData>
            </a:graphic>
          </wp:inline>
        </w:drawing>
      </w:r>
      <w:bookmarkStart w:id="19" w:name="_Toc461630366"/>
      <w:bookmarkStart w:id="20" w:name="_Toc343876361"/>
    </w:p>
    <w:p>
      <w:pPr>
        <w:widowControl/>
        <w:spacing w:after="156" w:line="360" w:lineRule="auto"/>
        <w:ind w:firstLine="420"/>
        <w:jc w:val="center"/>
        <w:rPr>
          <w:rFonts w:asciiTheme="minorEastAsia" w:hAnsiTheme="minorEastAsia"/>
          <w:sz w:val="24"/>
        </w:rPr>
      </w:pPr>
      <w:r>
        <w:rPr>
          <w:rFonts w:hint="eastAsia" w:asciiTheme="minorEastAsia" w:hAnsiTheme="minorEastAsia"/>
          <w:sz w:val="24"/>
        </w:rPr>
        <w:t>最小化操作风险</w:t>
      </w:r>
      <w:bookmarkEnd w:id="19"/>
      <w:bookmarkEnd w:id="20"/>
    </w:p>
    <w:p>
      <w:pPr>
        <w:spacing w:after="156" w:line="360" w:lineRule="auto"/>
        <w:jc w:val="center"/>
        <w:rPr>
          <w:rFonts w:asciiTheme="minorEastAsia" w:hAnsiTheme="minorEastAsia"/>
          <w:sz w:val="24"/>
        </w:rPr>
      </w:pPr>
      <w:r>
        <w:rPr>
          <w:rFonts w:hint="eastAsia" w:asciiTheme="minorEastAsia" w:hAnsiTheme="minorEastAsia"/>
          <w:sz w:val="24"/>
        </w:rPr>
        <w:drawing>
          <wp:inline distT="0" distB="0" distL="0" distR="0">
            <wp:extent cx="4229100" cy="30765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229100" cy="3076575"/>
                    </a:xfrm>
                    <a:prstGeom prst="rect">
                      <a:avLst/>
                    </a:prstGeom>
                    <a:noFill/>
                    <a:ln>
                      <a:noFill/>
                    </a:ln>
                  </pic:spPr>
                </pic:pic>
              </a:graphicData>
            </a:graphic>
          </wp:inline>
        </w:drawing>
      </w:r>
    </w:p>
    <w:p>
      <w:pPr>
        <w:pStyle w:val="46"/>
        <w:numPr>
          <w:ilvl w:val="0"/>
          <w:numId w:val="11"/>
        </w:numPr>
      </w:pPr>
      <w:bookmarkStart w:id="21" w:name="_Toc140011109"/>
      <w:bookmarkStart w:id="22" w:name="_Toc461958766"/>
      <w:bookmarkStart w:id="23" w:name="_Toc162270048"/>
      <w:r>
        <w:rPr>
          <w:rFonts w:hint="eastAsia"/>
        </w:rPr>
        <w:t>集中管理</w:t>
      </w:r>
      <w:bookmarkEnd w:id="21"/>
      <w:bookmarkEnd w:id="22"/>
      <w:bookmarkEnd w:id="23"/>
    </w:p>
    <w:p>
      <w:pPr>
        <w:spacing w:after="156" w:line="360" w:lineRule="auto"/>
        <w:ind w:firstLine="360"/>
        <w:rPr>
          <w:rFonts w:asciiTheme="minorEastAsia" w:hAnsiTheme="minorEastAsia"/>
          <w:sz w:val="24"/>
        </w:rPr>
      </w:pPr>
      <w:r>
        <w:rPr>
          <w:rFonts w:hint="eastAsia" w:asciiTheme="minorEastAsia" w:hAnsiTheme="minorEastAsia"/>
          <w:sz w:val="24"/>
        </w:rPr>
        <w:t>管理模式是首要因素，管理是从一个高度，综合考虑整体的情况，然后制定相应的策略，最后落实到技术实现上。管理解决的是面的问题，技术解决的是点的问题，管理的模式决定了管理的高度。只有通过集中管理这种模式，才能解决目前杂乱无序的运维管理现状，让运维管理变得简单规范。</w:t>
      </w:r>
      <w:r>
        <w:rPr>
          <w:rFonts w:asciiTheme="minorEastAsia" w:hAnsiTheme="minorEastAsia"/>
          <w:sz w:val="24"/>
        </w:rPr>
        <w:t xml:space="preserve"> </w:t>
      </w:r>
    </w:p>
    <w:p>
      <w:pPr>
        <w:pStyle w:val="46"/>
        <w:numPr>
          <w:ilvl w:val="0"/>
          <w:numId w:val="11"/>
        </w:numPr>
      </w:pPr>
      <w:bookmarkStart w:id="24" w:name="_Toc461958767"/>
      <w:bookmarkStart w:id="25" w:name="_Toc140011110"/>
      <w:bookmarkStart w:id="26" w:name="_Toc162270049"/>
      <w:r>
        <w:rPr>
          <w:rFonts w:hint="eastAsia"/>
        </w:rPr>
        <w:t>身份管理</w:t>
      </w:r>
      <w:bookmarkEnd w:id="24"/>
      <w:bookmarkEnd w:id="25"/>
      <w:bookmarkEnd w:id="26"/>
    </w:p>
    <w:p>
      <w:pPr>
        <w:spacing w:after="156" w:line="360" w:lineRule="auto"/>
        <w:ind w:firstLine="360"/>
        <w:rPr>
          <w:rFonts w:asciiTheme="minorEastAsia" w:hAnsiTheme="minorEastAsia"/>
          <w:sz w:val="24"/>
        </w:rPr>
      </w:pPr>
      <w:r>
        <w:rPr>
          <w:rFonts w:hint="eastAsia" w:asciiTheme="minorEastAsia" w:hAnsiTheme="minorEastAsia"/>
          <w:sz w:val="24"/>
        </w:rPr>
        <w:t>身份管理是解决用户操作身份的，如果我们连维护人员的身份和角色都无法确认，那么不管我们怎么控制、怎么审计都无法准确的定位操作人。所以身份管理是基础。</w:t>
      </w:r>
      <w:r>
        <w:rPr>
          <w:rFonts w:asciiTheme="minorEastAsia" w:hAnsiTheme="minorEastAsia"/>
          <w:sz w:val="24"/>
        </w:rPr>
        <w:t xml:space="preserve"> </w:t>
      </w:r>
    </w:p>
    <w:p>
      <w:pPr>
        <w:pStyle w:val="46"/>
        <w:numPr>
          <w:ilvl w:val="0"/>
          <w:numId w:val="11"/>
        </w:numPr>
      </w:pPr>
      <w:bookmarkStart w:id="27" w:name="_Toc461958768"/>
      <w:bookmarkStart w:id="28" w:name="_Toc140011111"/>
      <w:bookmarkStart w:id="29" w:name="_Toc162270050"/>
      <w:r>
        <w:rPr>
          <w:rFonts w:hint="eastAsia"/>
        </w:rPr>
        <w:t>访问控制</w:t>
      </w:r>
      <w:bookmarkEnd w:id="27"/>
      <w:bookmarkEnd w:id="28"/>
      <w:bookmarkEnd w:id="29"/>
      <w:r>
        <w:t xml:space="preserve"> </w:t>
      </w:r>
    </w:p>
    <w:p>
      <w:pPr>
        <w:spacing w:after="156" w:line="360" w:lineRule="auto"/>
        <w:ind w:firstLine="360"/>
        <w:rPr>
          <w:rFonts w:asciiTheme="minorEastAsia" w:hAnsiTheme="minorEastAsia"/>
          <w:sz w:val="24"/>
        </w:rPr>
      </w:pPr>
      <w:r>
        <w:rPr>
          <w:rFonts w:hint="eastAsia" w:asciiTheme="minorEastAsia" w:hAnsiTheme="minorEastAsia"/>
          <w:sz w:val="24"/>
        </w:rPr>
        <w:t xml:space="preserve">操作者身份确定后，下一个问题就是他能访问什么资源。如果操作者可以随心所欲访问任何资源，就等于没控制，所以需要通过访问控制确保合法操作者合法访问资源，有效降低未授权访问所带来的风险。 </w:t>
      </w:r>
    </w:p>
    <w:p>
      <w:pPr>
        <w:pStyle w:val="46"/>
        <w:numPr>
          <w:ilvl w:val="0"/>
          <w:numId w:val="11"/>
        </w:numPr>
      </w:pPr>
      <w:bookmarkStart w:id="30" w:name="_Toc461958769"/>
      <w:bookmarkStart w:id="31" w:name="_Toc140011112"/>
      <w:bookmarkStart w:id="32" w:name="_Toc162270051"/>
      <w:r>
        <w:rPr>
          <w:rFonts w:hint="eastAsia"/>
        </w:rPr>
        <w:t>权限控制</w:t>
      </w:r>
      <w:bookmarkEnd w:id="30"/>
      <w:bookmarkEnd w:id="31"/>
      <w:bookmarkEnd w:id="32"/>
    </w:p>
    <w:p>
      <w:pPr>
        <w:spacing w:after="156" w:line="360" w:lineRule="auto"/>
        <w:ind w:firstLine="360"/>
        <w:rPr>
          <w:rFonts w:asciiTheme="minorEastAsia" w:hAnsiTheme="minorEastAsia"/>
          <w:sz w:val="24"/>
        </w:rPr>
      </w:pPr>
      <w:r>
        <w:rPr>
          <w:rFonts w:hint="eastAsia" w:asciiTheme="minorEastAsia" w:hAnsiTheme="minorEastAsia"/>
          <w:sz w:val="24"/>
        </w:rPr>
        <w:t xml:space="preserve">对于运维管理来说，权限控制是从操作层面控制操作者的权限，因为操作是最核心的风险因素，只有真正控制住用户的操作权限，才能有效的降低操作风险。 </w:t>
      </w:r>
    </w:p>
    <w:p>
      <w:pPr>
        <w:pStyle w:val="46"/>
        <w:numPr>
          <w:ilvl w:val="0"/>
          <w:numId w:val="11"/>
        </w:numPr>
      </w:pPr>
      <w:bookmarkStart w:id="33" w:name="_Toc140011113"/>
      <w:bookmarkStart w:id="34" w:name="_Toc162270052"/>
      <w:bookmarkStart w:id="35" w:name="_Toc461958770"/>
      <w:r>
        <w:rPr>
          <w:rFonts w:hint="eastAsia"/>
        </w:rPr>
        <w:t>操作审计</w:t>
      </w:r>
      <w:bookmarkEnd w:id="33"/>
      <w:bookmarkEnd w:id="34"/>
      <w:bookmarkEnd w:id="35"/>
    </w:p>
    <w:p>
      <w:pPr>
        <w:spacing w:after="156" w:line="360" w:lineRule="auto"/>
        <w:ind w:firstLine="360"/>
        <w:rPr>
          <w:rFonts w:asciiTheme="minorEastAsia" w:hAnsiTheme="minorEastAsia"/>
          <w:sz w:val="24"/>
        </w:rPr>
      </w:pPr>
      <w:r>
        <w:rPr>
          <w:rFonts w:hint="eastAsia" w:asciiTheme="minorEastAsia" w:hAnsiTheme="minorEastAsia"/>
          <w:sz w:val="24"/>
        </w:rPr>
        <w:t>操作审计一方面要保证：在出了事故以后快速定位操作者和事故原因，还原事故现场和举证。另一方面可以做为一种有效的验证机制，确保集中管理、身份管理、访问控制、权限控制策略是否得到有效执行。</w:t>
      </w:r>
    </w:p>
    <w:p>
      <w:pPr>
        <w:pStyle w:val="46"/>
        <w:numPr>
          <w:ilvl w:val="0"/>
          <w:numId w:val="11"/>
        </w:numPr>
      </w:pPr>
      <w:bookmarkStart w:id="36" w:name="_Toc140011114"/>
      <w:bookmarkStart w:id="37" w:name="_Toc162270053"/>
      <w:bookmarkStart w:id="38" w:name="_Toc343876362"/>
      <w:bookmarkStart w:id="39" w:name="_Toc461958771"/>
      <w:bookmarkStart w:id="40" w:name="_Toc461630367"/>
      <w:bookmarkStart w:id="41" w:name="_Toc461688705"/>
      <w:r>
        <w:rPr>
          <w:rFonts w:hint="eastAsia"/>
        </w:rPr>
        <w:t>“零”影响部署</w:t>
      </w:r>
      <w:bookmarkEnd w:id="36"/>
      <w:bookmarkEnd w:id="37"/>
      <w:bookmarkEnd w:id="38"/>
      <w:bookmarkEnd w:id="39"/>
      <w:bookmarkEnd w:id="40"/>
      <w:bookmarkEnd w:id="41"/>
      <w:r>
        <w:rPr>
          <w:rFonts w:hint="eastAsia"/>
        </w:rPr>
        <w:t xml:space="preserve"> </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不影响任何业务数据流；</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设备的部署不更改现有的网络拓扑；</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不增加系统和网络性能的负载；</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部署方式灵活多样，部署周期短；</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不改变管理员操作习惯（不需要安装客户端工具）。</w:t>
      </w:r>
    </w:p>
    <w:p>
      <w:pPr>
        <w:pStyle w:val="46"/>
        <w:numPr>
          <w:ilvl w:val="0"/>
          <w:numId w:val="11"/>
        </w:numPr>
      </w:pPr>
      <w:bookmarkStart w:id="42" w:name="_Toc140011115"/>
      <w:bookmarkStart w:id="43" w:name="_Toc343876382"/>
      <w:bookmarkStart w:id="44" w:name="_Toc461958772"/>
      <w:bookmarkStart w:id="45" w:name="_Toc162270054"/>
      <w:r>
        <w:rPr>
          <w:rFonts w:hint="eastAsia"/>
        </w:rPr>
        <w:t>高可用性和扩展性</w:t>
      </w:r>
      <w:bookmarkEnd w:id="42"/>
      <w:bookmarkEnd w:id="43"/>
      <w:bookmarkEnd w:id="44"/>
      <w:bookmarkEnd w:id="45"/>
    </w:p>
    <w:p>
      <w:pPr>
        <w:numPr>
          <w:ilvl w:val="0"/>
          <w:numId w:val="12"/>
        </w:numPr>
        <w:spacing w:after="156" w:line="360" w:lineRule="auto"/>
        <w:rPr>
          <w:rFonts w:asciiTheme="minorEastAsia" w:hAnsiTheme="minorEastAsia"/>
          <w:sz w:val="24"/>
        </w:rPr>
      </w:pPr>
      <w:r>
        <w:rPr>
          <w:rFonts w:hint="eastAsia" w:asciiTheme="minorEastAsia" w:hAnsiTheme="minorEastAsia"/>
          <w:sz w:val="24"/>
        </w:rPr>
        <w:t>热备支持，提高系统可用性；实现系统配置和审计日志数据的完全同步；</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集中管理、分散部署；实现统一配置、集中存储，分散部署节点支持负载均衡。</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支持BS/CS方式进行访问。</w:t>
      </w:r>
    </w:p>
    <w:p>
      <w:pPr>
        <w:pStyle w:val="46"/>
        <w:numPr>
          <w:ilvl w:val="0"/>
          <w:numId w:val="11"/>
        </w:numPr>
      </w:pPr>
      <w:bookmarkStart w:id="46" w:name="_Toc461958773"/>
      <w:bookmarkStart w:id="47" w:name="_Toc162270055"/>
      <w:bookmarkStart w:id="48" w:name="_Toc461688706"/>
      <w:bookmarkStart w:id="49" w:name="_Toc140011116"/>
      <w:r>
        <w:rPr>
          <w:rFonts w:hint="eastAsia"/>
        </w:rPr>
        <w:t>产品</w:t>
      </w:r>
      <w:r>
        <w:t>自身</w:t>
      </w:r>
      <w:r>
        <w:rPr>
          <w:rFonts w:hint="eastAsia"/>
        </w:rPr>
        <w:t>安全性</w:t>
      </w:r>
      <w:bookmarkEnd w:id="46"/>
      <w:bookmarkEnd w:id="47"/>
      <w:bookmarkEnd w:id="48"/>
      <w:bookmarkEnd w:id="49"/>
    </w:p>
    <w:p>
      <w:pPr>
        <w:numPr>
          <w:ilvl w:val="0"/>
          <w:numId w:val="12"/>
        </w:numPr>
        <w:spacing w:after="156" w:line="360" w:lineRule="auto"/>
        <w:rPr>
          <w:rFonts w:asciiTheme="minorEastAsia" w:hAnsiTheme="minorEastAsia"/>
          <w:sz w:val="24"/>
        </w:rPr>
      </w:pPr>
      <w:r>
        <w:rPr>
          <w:rFonts w:hint="eastAsia" w:asciiTheme="minorEastAsia" w:hAnsiTheme="minorEastAsia"/>
          <w:sz w:val="24"/>
        </w:rPr>
        <w:t>产品自身采用安全的操作系统。</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对操作系统进行多方面的安全加固。</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对危险漏洞及端口进行修补及关闭。</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定期发布安全漏洞补丁。</w:t>
      </w:r>
      <w:r>
        <w:rPr>
          <w:rFonts w:asciiTheme="minorEastAsia" w:hAnsiTheme="minorEastAsia"/>
          <w:sz w:val="24"/>
        </w:rPr>
        <w:br w:type="page"/>
      </w:r>
    </w:p>
    <w:p>
      <w:pPr>
        <w:pStyle w:val="47"/>
      </w:pPr>
      <w:bookmarkStart w:id="50" w:name="_Toc461688707"/>
      <w:bookmarkStart w:id="51" w:name="_Toc140137037"/>
      <w:bookmarkStart w:id="52" w:name="_Toc162270056"/>
      <w:bookmarkStart w:id="53" w:name="_Toc461958774"/>
      <w:bookmarkStart w:id="54" w:name="_Toc140011117"/>
      <w:r>
        <w:rPr>
          <w:rFonts w:hint="eastAsia"/>
        </w:rPr>
        <w:t>产品功能</w:t>
      </w:r>
      <w:bookmarkEnd w:id="50"/>
      <w:bookmarkEnd w:id="51"/>
      <w:bookmarkEnd w:id="52"/>
      <w:bookmarkEnd w:id="53"/>
      <w:bookmarkEnd w:id="54"/>
    </w:p>
    <w:p>
      <w:pPr>
        <w:pStyle w:val="46"/>
        <w:numPr>
          <w:ilvl w:val="0"/>
          <w:numId w:val="13"/>
        </w:numPr>
      </w:pPr>
      <w:bookmarkStart w:id="55" w:name="_Toc140137038"/>
      <w:bookmarkStart w:id="56" w:name="_Toc162270057"/>
      <w:bookmarkStart w:id="57" w:name="_Toc335257257"/>
      <w:bookmarkStart w:id="58" w:name="_Toc5207023"/>
      <w:r>
        <w:rPr>
          <w:rFonts w:hint="eastAsia"/>
        </w:rPr>
        <w:t>用户、设备与认证管理</w:t>
      </w:r>
      <w:bookmarkEnd w:id="55"/>
      <w:bookmarkEnd w:id="56"/>
      <w:bookmarkEnd w:id="57"/>
      <w:bookmarkEnd w:id="58"/>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hint="eastAsia" w:ascii="宋体" w:cs="宋体"/>
          <w:kern w:val="0"/>
          <w:szCs w:val="24"/>
        </w:rPr>
        <w:t>用户权限分级：自然人用户账号根据权限不同，分为“超级用户”、“资产管理员”、“权限管理员”、“密码管理员”、“审计管理员”、“普通用户”六大类，规范、合理、方便。</w:t>
      </w:r>
    </w:p>
    <w:p>
      <w:pPr>
        <w:pStyle w:val="34"/>
        <w:widowControl/>
        <w:numPr>
          <w:ilvl w:val="0"/>
          <w:numId w:val="14"/>
        </w:numPr>
        <w:topLinePunct/>
        <w:adjustRightInd w:val="0"/>
        <w:snapToGrid w:val="0"/>
        <w:spacing w:before="156" w:line="360" w:lineRule="auto"/>
        <w:ind w:left="424" w:hanging="424" w:hangingChars="202"/>
        <w:jc w:val="left"/>
      </w:pPr>
      <w:r>
        <w:rPr>
          <w:rFonts w:hint="eastAsia"/>
        </w:rPr>
        <w:t>支持根据组织体系架构，进行自主设计和定义角色，满足不同组织的角色体系。</w:t>
      </w:r>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hint="eastAsia" w:ascii="宋体" w:cs="宋体"/>
          <w:kern w:val="0"/>
          <w:szCs w:val="24"/>
        </w:rPr>
        <w:t>用户分组管理：支持用户分组管理，简化授权。</w:t>
      </w:r>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hint="eastAsia" w:ascii="宋体" w:cs="宋体"/>
          <w:kern w:val="0"/>
          <w:szCs w:val="24"/>
        </w:rPr>
        <w:t>设备分组管理：支持设备分组管理，简化授权。</w:t>
      </w:r>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hint="eastAsia" w:ascii="宋体" w:cs="宋体"/>
          <w:kern w:val="0"/>
          <w:szCs w:val="24"/>
        </w:rPr>
        <w:t>设备账号密码推送：支持自动推送修改设备账号密码，便于集中管。</w:t>
      </w:r>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hint="eastAsia" w:ascii="宋体" w:cs="宋体"/>
          <w:kern w:val="0"/>
          <w:szCs w:val="24"/>
        </w:rPr>
        <w:t>用户、设备批量导入：支持以规定格式批量导入用户与设备配置信息。</w:t>
      </w:r>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hint="eastAsia" w:ascii="宋体" w:cs="宋体"/>
          <w:kern w:val="0"/>
          <w:szCs w:val="24"/>
        </w:rPr>
        <w:t>开放可扩展认证体系：采用开放灵活、可扩展的认证体系结构，支持本地静态口令认证，及外部第三方认证制：</w:t>
      </w:r>
      <w:r>
        <w:rPr>
          <w:rFonts w:cs="Times New Roman"/>
          <w:kern w:val="0"/>
          <w:szCs w:val="24"/>
        </w:rPr>
        <w:t>Radius</w:t>
      </w:r>
      <w:r>
        <w:rPr>
          <w:rFonts w:hint="eastAsia" w:ascii="宋体" w:cs="宋体"/>
          <w:kern w:val="0"/>
          <w:szCs w:val="24"/>
        </w:rPr>
        <w:t>、动态令牌卡、</w:t>
      </w:r>
      <w:r>
        <w:rPr>
          <w:rFonts w:cs="Times New Roman"/>
          <w:kern w:val="0"/>
          <w:szCs w:val="24"/>
        </w:rPr>
        <w:t>PKI</w:t>
      </w:r>
      <w:r>
        <w:rPr>
          <w:rFonts w:hint="eastAsia" w:ascii="宋体" w:cs="宋体"/>
          <w:kern w:val="0"/>
          <w:szCs w:val="24"/>
        </w:rPr>
        <w:t>、</w:t>
      </w:r>
      <w:r>
        <w:rPr>
          <w:rFonts w:cs="Times New Roman"/>
          <w:kern w:val="0"/>
          <w:szCs w:val="24"/>
        </w:rPr>
        <w:t xml:space="preserve">AD </w:t>
      </w:r>
      <w:r>
        <w:rPr>
          <w:rFonts w:hint="eastAsia" w:ascii="宋体" w:cs="宋体"/>
          <w:kern w:val="0"/>
          <w:szCs w:val="24"/>
        </w:rPr>
        <w:t>域、指纹。</w:t>
      </w:r>
    </w:p>
    <w:p>
      <w:pPr>
        <w:pStyle w:val="46"/>
        <w:numPr>
          <w:ilvl w:val="0"/>
          <w:numId w:val="13"/>
        </w:numPr>
      </w:pPr>
      <w:bookmarkStart w:id="59" w:name="_Toc162270058"/>
      <w:bookmarkStart w:id="60" w:name="_Toc5207024"/>
      <w:bookmarkStart w:id="61" w:name="_Toc140137039"/>
      <w:bookmarkStart w:id="62" w:name="_Toc335257258"/>
      <w:r>
        <w:rPr>
          <w:rFonts w:hint="eastAsia"/>
        </w:rPr>
        <w:t>身份授权管理和访问控制</w:t>
      </w:r>
      <w:bookmarkEnd w:id="59"/>
      <w:bookmarkEnd w:id="60"/>
      <w:bookmarkEnd w:id="61"/>
      <w:bookmarkEnd w:id="62"/>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hint="eastAsia" w:ascii="宋体" w:cs="宋体"/>
          <w:kern w:val="0"/>
          <w:szCs w:val="24"/>
        </w:rPr>
        <w:t>集中授权管理：根据用户进行设备资产集中授权管理，支持组授权，简化管理。</w:t>
      </w:r>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hint="eastAsia" w:ascii="宋体" w:cs="宋体"/>
          <w:kern w:val="0"/>
          <w:szCs w:val="24"/>
        </w:rPr>
        <w:t>字符终端访问控制：支持基于用户、设备</w:t>
      </w:r>
      <w:r>
        <w:rPr>
          <w:rFonts w:ascii="宋体" w:cs="宋体"/>
          <w:kern w:val="0"/>
          <w:szCs w:val="24"/>
        </w:rPr>
        <w:t xml:space="preserve"> IP</w:t>
      </w:r>
      <w:r>
        <w:rPr>
          <w:rFonts w:hint="eastAsia" w:ascii="宋体" w:cs="宋体"/>
          <w:kern w:val="0"/>
          <w:szCs w:val="24"/>
        </w:rPr>
        <w:t>、登录</w:t>
      </w:r>
      <w:r>
        <w:rPr>
          <w:rFonts w:ascii="宋体" w:cs="宋体"/>
          <w:kern w:val="0"/>
          <w:szCs w:val="24"/>
        </w:rPr>
        <w:t>IP</w:t>
      </w:r>
      <w:r>
        <w:rPr>
          <w:rFonts w:hint="eastAsia" w:ascii="宋体" w:cs="宋体"/>
          <w:kern w:val="0"/>
          <w:szCs w:val="24"/>
        </w:rPr>
        <w:t>、设备账号、日期、时间、命令集、空闲时间任意逻辑组合的字符终端访问控制策略。</w:t>
      </w:r>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hint="eastAsia" w:ascii="宋体" w:cs="宋体"/>
          <w:kern w:val="0"/>
          <w:szCs w:val="24"/>
        </w:rPr>
        <w:t>图形终端文件传输控制：针对图形终端系统</w:t>
      </w:r>
      <w:r>
        <w:rPr>
          <w:rFonts w:ascii="宋体" w:cs="宋体"/>
          <w:kern w:val="0"/>
          <w:szCs w:val="24"/>
        </w:rPr>
        <w:t xml:space="preserve">, </w:t>
      </w:r>
      <w:r>
        <w:rPr>
          <w:rFonts w:hint="eastAsia" w:ascii="宋体" w:cs="宋体"/>
          <w:kern w:val="0"/>
          <w:szCs w:val="24"/>
        </w:rPr>
        <w:t>支持文件传输、剪贴板功能的开启或关闭控制。</w:t>
      </w:r>
    </w:p>
    <w:p/>
    <w:p>
      <w:pPr>
        <w:pStyle w:val="46"/>
        <w:numPr>
          <w:ilvl w:val="0"/>
          <w:numId w:val="13"/>
        </w:numPr>
      </w:pPr>
      <w:bookmarkStart w:id="63" w:name="_Toc335257259"/>
      <w:bookmarkStart w:id="64" w:name="_Toc162270059"/>
      <w:bookmarkStart w:id="65" w:name="_Toc5207025"/>
      <w:bookmarkStart w:id="66" w:name="_Toc140137040"/>
      <w:r>
        <w:rPr>
          <w:rFonts w:hint="eastAsia"/>
        </w:rPr>
        <w:t>终端交互和应用交付</w:t>
      </w:r>
      <w:bookmarkEnd w:id="63"/>
      <w:bookmarkEnd w:id="64"/>
      <w:bookmarkEnd w:id="65"/>
      <w:bookmarkEnd w:id="66"/>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ascii="宋体" w:cs="宋体"/>
          <w:kern w:val="0"/>
          <w:szCs w:val="24"/>
        </w:rPr>
        <w:t xml:space="preserve">B/S </w:t>
      </w:r>
      <w:r>
        <w:rPr>
          <w:rFonts w:hint="eastAsia" w:ascii="宋体" w:cs="宋体"/>
          <w:kern w:val="0"/>
          <w:szCs w:val="24"/>
        </w:rPr>
        <w:t>交互与交付平台：支持基于</w:t>
      </w:r>
      <w:r>
        <w:rPr>
          <w:rFonts w:ascii="宋体" w:cs="宋体"/>
          <w:kern w:val="0"/>
          <w:szCs w:val="24"/>
        </w:rPr>
        <w:t xml:space="preserve">Web </w:t>
      </w:r>
      <w:r>
        <w:rPr>
          <w:rFonts w:hint="eastAsia" w:ascii="宋体" w:cs="宋体"/>
          <w:kern w:val="0"/>
          <w:szCs w:val="24"/>
        </w:rPr>
        <w:t>的</w:t>
      </w:r>
      <w:r>
        <w:rPr>
          <w:rFonts w:ascii="宋体" w:cs="宋体"/>
          <w:kern w:val="0"/>
          <w:szCs w:val="24"/>
        </w:rPr>
        <w:t xml:space="preserve">B/S </w:t>
      </w:r>
      <w:r>
        <w:rPr>
          <w:rFonts w:hint="eastAsia" w:ascii="宋体" w:cs="宋体"/>
          <w:kern w:val="0"/>
          <w:szCs w:val="24"/>
        </w:rPr>
        <w:t>交互与交付操作平台，为用户提供统一友好的操作界面。</w:t>
      </w:r>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ascii="宋体" w:cs="宋体"/>
          <w:kern w:val="0"/>
          <w:szCs w:val="24"/>
        </w:rPr>
        <w:t xml:space="preserve">C/S </w:t>
      </w:r>
      <w:r>
        <w:rPr>
          <w:rFonts w:hint="eastAsia" w:ascii="宋体" w:cs="宋体"/>
          <w:kern w:val="0"/>
          <w:szCs w:val="24"/>
        </w:rPr>
        <w:t>交互与交付平台：支持</w:t>
      </w:r>
      <w:r>
        <w:rPr>
          <w:rFonts w:ascii="宋体" w:cs="宋体"/>
          <w:kern w:val="0"/>
          <w:szCs w:val="24"/>
        </w:rPr>
        <w:t xml:space="preserve">C/S </w:t>
      </w:r>
      <w:r>
        <w:rPr>
          <w:rFonts w:hint="eastAsia" w:ascii="宋体" w:cs="宋体"/>
          <w:kern w:val="0"/>
          <w:szCs w:val="24"/>
        </w:rPr>
        <w:t>交互与交付操作平台，尊重用户使用传统，方便各种形式操作。</w:t>
      </w:r>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hint="eastAsia" w:ascii="宋体" w:cs="宋体"/>
          <w:kern w:val="0"/>
          <w:szCs w:val="24"/>
        </w:rPr>
        <w:t>全面完备的单点登录支持：全面支持各类字符终端（</w:t>
      </w:r>
      <w:r>
        <w:rPr>
          <w:rFonts w:ascii="宋体" w:cs="宋体"/>
          <w:kern w:val="0"/>
          <w:szCs w:val="24"/>
        </w:rPr>
        <w:t>ssh</w:t>
      </w:r>
      <w:r>
        <w:rPr>
          <w:rFonts w:hint="eastAsia" w:ascii="宋体" w:cs="宋体"/>
          <w:kern w:val="0"/>
          <w:szCs w:val="24"/>
        </w:rPr>
        <w:t>，</w:t>
      </w:r>
      <w:r>
        <w:rPr>
          <w:rFonts w:ascii="宋体" w:cs="宋体"/>
          <w:kern w:val="0"/>
          <w:szCs w:val="24"/>
        </w:rPr>
        <w:t>telnet</w:t>
      </w:r>
      <w:r>
        <w:rPr>
          <w:rFonts w:hint="eastAsia" w:ascii="宋体" w:cs="宋体"/>
          <w:kern w:val="0"/>
          <w:szCs w:val="24"/>
        </w:rPr>
        <w:t>）、图形终端（</w:t>
      </w:r>
      <w:r>
        <w:rPr>
          <w:rFonts w:ascii="宋体" w:cs="宋体"/>
          <w:kern w:val="0"/>
          <w:szCs w:val="24"/>
        </w:rPr>
        <w:t>RDP</w:t>
      </w:r>
      <w:r>
        <w:rPr>
          <w:rFonts w:hint="eastAsia" w:ascii="宋体" w:cs="宋体"/>
          <w:kern w:val="0"/>
          <w:szCs w:val="24"/>
        </w:rPr>
        <w:t>、</w:t>
      </w:r>
      <w:r>
        <w:rPr>
          <w:rFonts w:ascii="宋体" w:cs="宋体"/>
          <w:kern w:val="0"/>
          <w:szCs w:val="24"/>
        </w:rPr>
        <w:t>VNC</w:t>
      </w:r>
      <w:r>
        <w:rPr>
          <w:rFonts w:hint="eastAsia" w:ascii="宋体" w:cs="宋体"/>
          <w:kern w:val="0"/>
          <w:szCs w:val="24"/>
        </w:rPr>
        <w:t>、</w:t>
      </w:r>
      <w:r>
        <w:rPr>
          <w:rFonts w:ascii="宋体" w:cs="宋体"/>
          <w:kern w:val="0"/>
          <w:szCs w:val="24"/>
        </w:rPr>
        <w:t>X11</w:t>
      </w:r>
      <w:r>
        <w:rPr>
          <w:rFonts w:hint="eastAsia" w:ascii="宋体" w:cs="宋体"/>
          <w:kern w:val="0"/>
          <w:szCs w:val="24"/>
        </w:rPr>
        <w:t>）、文件传输（</w:t>
      </w:r>
      <w:r>
        <w:rPr>
          <w:rFonts w:ascii="宋体" w:cs="宋体"/>
          <w:kern w:val="0"/>
          <w:szCs w:val="24"/>
        </w:rPr>
        <w:t>FTP</w:t>
      </w:r>
      <w:r>
        <w:rPr>
          <w:rFonts w:hint="eastAsia" w:ascii="宋体" w:cs="宋体"/>
          <w:kern w:val="0"/>
          <w:szCs w:val="24"/>
        </w:rPr>
        <w:t>、</w:t>
      </w:r>
      <w:r>
        <w:rPr>
          <w:rFonts w:ascii="宋体" w:cs="宋体"/>
          <w:kern w:val="0"/>
          <w:szCs w:val="24"/>
        </w:rPr>
        <w:t>SFTP)</w:t>
      </w:r>
      <w:r>
        <w:rPr>
          <w:rFonts w:hint="eastAsia" w:ascii="宋体" w:cs="宋体"/>
          <w:kern w:val="0"/>
          <w:szCs w:val="24"/>
        </w:rPr>
        <w:t>、数据库管理工具、</w:t>
      </w:r>
      <w:r>
        <w:rPr>
          <w:rFonts w:ascii="宋体" w:cs="宋体"/>
          <w:kern w:val="0"/>
          <w:szCs w:val="24"/>
        </w:rPr>
        <w:t>KVM</w:t>
      </w:r>
      <w:r>
        <w:rPr>
          <w:rFonts w:hint="eastAsia" w:ascii="宋体" w:cs="宋体"/>
          <w:kern w:val="0"/>
          <w:szCs w:val="24"/>
        </w:rPr>
        <w:t>、企业自定义应用的单点登录。</w:t>
      </w:r>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hint="eastAsia" w:ascii="宋体" w:cs="宋体"/>
          <w:kern w:val="0"/>
          <w:szCs w:val="24"/>
        </w:rPr>
        <w:t>端到端应用交付：支持端到端应用交付，支持应用交付单点登录，支持企业应用交付自定义开发。</w:t>
      </w:r>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hint="eastAsia" w:ascii="宋体" w:cs="宋体"/>
          <w:kern w:val="0"/>
          <w:szCs w:val="24"/>
        </w:rPr>
        <w:t>字符终端交互常用客户端支持：不限定字符终端交互软件，支持常用字符终端客户端软件，完整支持客户端软件原有丰富功能。</w:t>
      </w:r>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ascii="宋体" w:cs="宋体"/>
          <w:kern w:val="0"/>
          <w:szCs w:val="24"/>
        </w:rPr>
        <w:t xml:space="preserve">KVM </w:t>
      </w:r>
      <w:r>
        <w:rPr>
          <w:rFonts w:hint="eastAsia" w:ascii="宋体" w:cs="宋体"/>
          <w:kern w:val="0"/>
          <w:szCs w:val="24"/>
        </w:rPr>
        <w:t>交互：支持主流</w:t>
      </w:r>
      <w:r>
        <w:rPr>
          <w:rFonts w:ascii="宋体" w:cs="宋体"/>
          <w:kern w:val="0"/>
          <w:szCs w:val="24"/>
        </w:rPr>
        <w:t>KVM over IP</w:t>
      </w:r>
      <w:r>
        <w:rPr>
          <w:rFonts w:hint="eastAsia" w:ascii="宋体" w:cs="宋体"/>
          <w:kern w:val="0"/>
          <w:szCs w:val="24"/>
        </w:rPr>
        <w:t>，包括但不限于：</w:t>
      </w:r>
      <w:r>
        <w:rPr>
          <w:rFonts w:ascii="宋体" w:cs="宋体"/>
          <w:kern w:val="0"/>
          <w:szCs w:val="24"/>
        </w:rPr>
        <w:t>Avocent</w:t>
      </w:r>
      <w:r>
        <w:rPr>
          <w:rFonts w:hint="eastAsia" w:ascii="宋体" w:cs="宋体"/>
          <w:kern w:val="0"/>
          <w:szCs w:val="24"/>
        </w:rPr>
        <w:t>，</w:t>
      </w:r>
      <w:r>
        <w:rPr>
          <w:rFonts w:ascii="宋体" w:cs="宋体"/>
          <w:kern w:val="0"/>
          <w:szCs w:val="24"/>
        </w:rPr>
        <w:t>Raritan</w:t>
      </w:r>
      <w:r>
        <w:rPr>
          <w:rFonts w:hint="eastAsia" w:ascii="宋体" w:cs="宋体"/>
          <w:kern w:val="0"/>
          <w:szCs w:val="24"/>
        </w:rPr>
        <w:t>，</w:t>
      </w:r>
      <w:r>
        <w:rPr>
          <w:rFonts w:ascii="宋体" w:cs="宋体"/>
          <w:kern w:val="0"/>
          <w:szCs w:val="24"/>
        </w:rPr>
        <w:t>Aten</w:t>
      </w:r>
      <w:r>
        <w:rPr>
          <w:rFonts w:hint="eastAsia" w:ascii="宋体" w:cs="宋体"/>
          <w:kern w:val="0"/>
          <w:szCs w:val="24"/>
        </w:rPr>
        <w:t>。支持</w:t>
      </w:r>
      <w:r>
        <w:rPr>
          <w:rFonts w:ascii="宋体" w:cs="宋体"/>
          <w:kern w:val="0"/>
          <w:szCs w:val="24"/>
        </w:rPr>
        <w:t xml:space="preserve">KVM </w:t>
      </w:r>
      <w:r>
        <w:rPr>
          <w:rFonts w:hint="eastAsia" w:ascii="宋体" w:cs="宋体"/>
          <w:kern w:val="0"/>
          <w:szCs w:val="24"/>
        </w:rPr>
        <w:t>单点登录，支持</w:t>
      </w:r>
      <w:r>
        <w:rPr>
          <w:rFonts w:ascii="宋体" w:cs="宋体"/>
          <w:kern w:val="0"/>
          <w:szCs w:val="24"/>
        </w:rPr>
        <w:t xml:space="preserve">KVM </w:t>
      </w:r>
      <w:r>
        <w:rPr>
          <w:rFonts w:hint="eastAsia" w:ascii="宋体" w:cs="宋体"/>
          <w:kern w:val="0"/>
          <w:szCs w:val="24"/>
        </w:rPr>
        <w:t>单光标模式。</w:t>
      </w:r>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hint="eastAsia" w:ascii="宋体" w:cs="宋体"/>
          <w:kern w:val="0"/>
          <w:szCs w:val="24"/>
        </w:rPr>
        <w:t>数据库管理工具交付：支持数据库管理工具端到端应用交付，支持单点登录。支持的数据库管理工具包括：</w:t>
      </w:r>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ascii="宋体" w:cs="宋体"/>
          <w:kern w:val="0"/>
          <w:szCs w:val="24"/>
        </w:rPr>
        <w:t xml:space="preserve">a) ORACLE </w:t>
      </w:r>
      <w:r>
        <w:rPr>
          <w:rFonts w:hint="eastAsia" w:ascii="宋体" w:cs="宋体"/>
          <w:kern w:val="0"/>
          <w:szCs w:val="24"/>
        </w:rPr>
        <w:t>数据库：</w:t>
      </w:r>
      <w:r>
        <w:rPr>
          <w:rFonts w:ascii="宋体" w:cs="宋体"/>
          <w:kern w:val="0"/>
          <w:szCs w:val="24"/>
        </w:rPr>
        <w:t>SQL*PLUS</w:t>
      </w:r>
      <w:r>
        <w:rPr>
          <w:rFonts w:hint="eastAsia" w:ascii="宋体" w:cs="宋体"/>
          <w:kern w:val="0"/>
          <w:szCs w:val="24"/>
        </w:rPr>
        <w:t>、</w:t>
      </w:r>
      <w:r>
        <w:rPr>
          <w:rFonts w:ascii="宋体" w:cs="宋体"/>
          <w:kern w:val="0"/>
          <w:szCs w:val="24"/>
        </w:rPr>
        <w:t>TOAD</w:t>
      </w:r>
      <w:r>
        <w:rPr>
          <w:rFonts w:hint="eastAsia" w:ascii="宋体" w:cs="宋体"/>
          <w:kern w:val="0"/>
          <w:szCs w:val="24"/>
        </w:rPr>
        <w:t>、</w:t>
      </w:r>
      <w:r>
        <w:rPr>
          <w:rFonts w:ascii="宋体" w:cs="宋体"/>
          <w:kern w:val="0"/>
          <w:szCs w:val="24"/>
        </w:rPr>
        <w:t>PL/SQL</w:t>
      </w:r>
      <w:r>
        <w:rPr>
          <w:rFonts w:hint="eastAsia" w:ascii="宋体" w:cs="宋体"/>
          <w:kern w:val="0"/>
          <w:szCs w:val="24"/>
        </w:rPr>
        <w:t>、</w:t>
      </w:r>
      <w:r>
        <w:rPr>
          <w:rFonts w:ascii="宋体" w:cs="宋体"/>
          <w:kern w:val="0"/>
          <w:szCs w:val="24"/>
        </w:rPr>
        <w:t>Oracle Enterprise</w:t>
      </w:r>
      <w:r>
        <w:rPr>
          <w:rFonts w:hint="eastAsia" w:ascii="宋体" w:cs="宋体"/>
          <w:kern w:val="0"/>
          <w:szCs w:val="24"/>
        </w:rPr>
        <w:t xml:space="preserve"> </w:t>
      </w:r>
      <w:r>
        <w:rPr>
          <w:rFonts w:ascii="宋体" w:cs="宋体"/>
          <w:kern w:val="0"/>
          <w:szCs w:val="24"/>
        </w:rPr>
        <w:t>Management Central</w:t>
      </w:r>
      <w:r>
        <w:rPr>
          <w:rFonts w:hint="eastAsia" w:ascii="宋体" w:cs="宋体"/>
          <w:kern w:val="0"/>
          <w:szCs w:val="24"/>
        </w:rPr>
        <w:t>。</w:t>
      </w:r>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ascii="宋体" w:cs="宋体"/>
          <w:kern w:val="0"/>
          <w:szCs w:val="24"/>
        </w:rPr>
        <w:t xml:space="preserve">b) SYBASE </w:t>
      </w:r>
      <w:r>
        <w:rPr>
          <w:rFonts w:hint="eastAsia" w:ascii="宋体" w:cs="宋体"/>
          <w:kern w:val="0"/>
          <w:szCs w:val="24"/>
        </w:rPr>
        <w:t>数据库：</w:t>
      </w:r>
      <w:r>
        <w:rPr>
          <w:rFonts w:ascii="宋体" w:cs="宋体"/>
          <w:kern w:val="0"/>
          <w:szCs w:val="24"/>
        </w:rPr>
        <w:t>Sybase Central 3.2</w:t>
      </w:r>
      <w:r>
        <w:rPr>
          <w:rFonts w:hint="eastAsia" w:ascii="宋体" w:cs="宋体"/>
          <w:kern w:val="0"/>
          <w:szCs w:val="24"/>
        </w:rPr>
        <w:t>、</w:t>
      </w:r>
      <w:r>
        <w:rPr>
          <w:rFonts w:ascii="宋体" w:cs="宋体"/>
          <w:kern w:val="0"/>
          <w:szCs w:val="24"/>
        </w:rPr>
        <w:t>Sybase Central 4.0</w:t>
      </w:r>
      <w:r>
        <w:rPr>
          <w:rFonts w:hint="eastAsia" w:ascii="宋体" w:cs="宋体"/>
          <w:kern w:val="0"/>
          <w:szCs w:val="24"/>
        </w:rPr>
        <w:t>、</w:t>
      </w:r>
      <w:r>
        <w:rPr>
          <w:rFonts w:ascii="宋体" w:cs="宋体"/>
          <w:kern w:val="0"/>
          <w:szCs w:val="24"/>
        </w:rPr>
        <w:t>Sybase Central6.0</w:t>
      </w:r>
      <w:r>
        <w:rPr>
          <w:rFonts w:hint="eastAsia" w:ascii="宋体" w:cs="宋体"/>
          <w:kern w:val="0"/>
          <w:szCs w:val="24"/>
        </w:rPr>
        <w:t>。</w:t>
      </w:r>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ascii="宋体" w:cs="宋体"/>
          <w:kern w:val="0"/>
          <w:szCs w:val="24"/>
        </w:rPr>
        <w:t xml:space="preserve">c) SQL Server </w:t>
      </w:r>
      <w:r>
        <w:rPr>
          <w:rFonts w:hint="eastAsia" w:ascii="宋体" w:cs="宋体"/>
          <w:kern w:val="0"/>
          <w:szCs w:val="24"/>
        </w:rPr>
        <w:t>数据库：</w:t>
      </w:r>
      <w:r>
        <w:rPr>
          <w:rFonts w:ascii="宋体" w:cs="宋体"/>
          <w:kern w:val="0"/>
          <w:szCs w:val="24"/>
        </w:rPr>
        <w:t>SQL Server Management Studio 2005</w:t>
      </w:r>
      <w:r>
        <w:rPr>
          <w:rFonts w:hint="eastAsia" w:ascii="宋体" w:cs="宋体"/>
          <w:kern w:val="0"/>
          <w:szCs w:val="24"/>
        </w:rPr>
        <w:t>。</w:t>
      </w:r>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ascii="宋体" w:cs="宋体"/>
          <w:kern w:val="0"/>
          <w:szCs w:val="24"/>
        </w:rPr>
        <w:t xml:space="preserve">d) DB2 </w:t>
      </w:r>
      <w:r>
        <w:rPr>
          <w:rFonts w:hint="eastAsia" w:ascii="宋体" w:cs="宋体"/>
          <w:kern w:val="0"/>
          <w:szCs w:val="24"/>
        </w:rPr>
        <w:t>数据库：</w:t>
      </w:r>
      <w:r>
        <w:rPr>
          <w:rFonts w:ascii="宋体" w:cs="宋体"/>
          <w:kern w:val="0"/>
          <w:szCs w:val="24"/>
        </w:rPr>
        <w:t xml:space="preserve">DB2CMD(DB2 </w:t>
      </w:r>
      <w:r>
        <w:rPr>
          <w:rFonts w:hint="eastAsia" w:ascii="宋体" w:cs="宋体"/>
          <w:kern w:val="0"/>
          <w:szCs w:val="24"/>
        </w:rPr>
        <w:t>命令行窗口</w:t>
      </w:r>
      <w:r>
        <w:rPr>
          <w:rFonts w:ascii="宋体" w:cs="宋体"/>
          <w:kern w:val="0"/>
          <w:szCs w:val="24"/>
        </w:rPr>
        <w:t>)</w:t>
      </w:r>
      <w:r>
        <w:rPr>
          <w:rFonts w:hint="eastAsia" w:ascii="宋体" w:cs="宋体"/>
          <w:kern w:val="0"/>
          <w:szCs w:val="24"/>
        </w:rPr>
        <w:t>、</w:t>
      </w:r>
      <w:r>
        <w:rPr>
          <w:rFonts w:ascii="宋体" w:cs="宋体"/>
          <w:kern w:val="0"/>
          <w:szCs w:val="24"/>
        </w:rPr>
        <w:t>Quest Central For DB2</w:t>
      </w:r>
      <w:r>
        <w:rPr>
          <w:rFonts w:hint="eastAsia" w:ascii="宋体" w:cs="宋体"/>
          <w:kern w:val="0"/>
          <w:szCs w:val="24"/>
        </w:rPr>
        <w:t>。</w:t>
      </w:r>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ascii="宋体" w:cs="宋体"/>
          <w:kern w:val="0"/>
          <w:szCs w:val="24"/>
        </w:rPr>
        <w:t xml:space="preserve">e) INFORMIX </w:t>
      </w:r>
      <w:r>
        <w:rPr>
          <w:rFonts w:hint="eastAsia" w:ascii="宋体" w:cs="宋体"/>
          <w:kern w:val="0"/>
          <w:szCs w:val="24"/>
        </w:rPr>
        <w:t>数据库：</w:t>
      </w:r>
      <w:r>
        <w:rPr>
          <w:rFonts w:ascii="宋体" w:cs="宋体"/>
          <w:kern w:val="0"/>
          <w:szCs w:val="24"/>
        </w:rPr>
        <w:t>DBACCESS</w:t>
      </w:r>
      <w:r>
        <w:rPr>
          <w:rFonts w:hint="eastAsia" w:ascii="宋体" w:cs="宋体"/>
          <w:kern w:val="0"/>
          <w:szCs w:val="24"/>
        </w:rPr>
        <w:t>。</w:t>
      </w:r>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hint="eastAsia" w:ascii="宋体" w:cs="宋体"/>
          <w:kern w:val="0"/>
          <w:szCs w:val="24"/>
        </w:rPr>
        <w:t>f</w:t>
      </w:r>
      <w:r>
        <w:rPr>
          <w:rFonts w:ascii="宋体" w:cs="宋体"/>
          <w:kern w:val="0"/>
          <w:szCs w:val="24"/>
        </w:rPr>
        <w:t xml:space="preserve">) </w:t>
      </w:r>
      <w:r>
        <w:rPr>
          <w:rFonts w:hint="eastAsia" w:ascii="宋体" w:cs="宋体"/>
          <w:kern w:val="0"/>
          <w:szCs w:val="24"/>
        </w:rPr>
        <w:t>国产数据库：达梦、金仓、Gbase、Oceanbase等。</w:t>
      </w:r>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hint="eastAsia" w:ascii="宋体" w:cs="宋体"/>
          <w:kern w:val="0"/>
          <w:szCs w:val="24"/>
        </w:rPr>
        <w:t>远程图形控制工具交付：</w:t>
      </w:r>
      <w:r>
        <w:rPr>
          <w:rFonts w:ascii="宋体" w:cs="宋体"/>
          <w:kern w:val="0"/>
          <w:szCs w:val="24"/>
        </w:rPr>
        <w:t>pcAnywhere</w:t>
      </w:r>
      <w:r>
        <w:rPr>
          <w:rFonts w:hint="eastAsia" w:ascii="宋体" w:cs="宋体"/>
          <w:kern w:val="0"/>
          <w:szCs w:val="24"/>
        </w:rPr>
        <w:t>、</w:t>
      </w:r>
      <w:r>
        <w:rPr>
          <w:rFonts w:ascii="宋体" w:cs="宋体"/>
          <w:kern w:val="0"/>
          <w:szCs w:val="24"/>
        </w:rPr>
        <w:t xml:space="preserve">Radmin </w:t>
      </w:r>
      <w:r>
        <w:rPr>
          <w:rFonts w:hint="eastAsia" w:ascii="宋体" w:cs="宋体"/>
          <w:kern w:val="0"/>
          <w:szCs w:val="24"/>
        </w:rPr>
        <w:t>等远程图形控制工具端到端应用交付，支持单点登录。</w:t>
      </w:r>
    </w:p>
    <w:p>
      <w:pPr>
        <w:pStyle w:val="34"/>
        <w:widowControl/>
        <w:numPr>
          <w:ilvl w:val="0"/>
          <w:numId w:val="14"/>
        </w:numPr>
        <w:topLinePunct/>
        <w:adjustRightInd w:val="0"/>
        <w:snapToGrid w:val="0"/>
        <w:spacing w:before="156" w:line="360" w:lineRule="auto"/>
        <w:ind w:left="424" w:hanging="424" w:hangingChars="202"/>
        <w:jc w:val="left"/>
        <w:rPr>
          <w:rFonts w:ascii="宋体" w:cs="宋体"/>
          <w:kern w:val="0"/>
          <w:szCs w:val="24"/>
        </w:rPr>
      </w:pPr>
      <w:r>
        <w:rPr>
          <w:rFonts w:ascii="宋体" w:cs="宋体"/>
          <w:kern w:val="0"/>
          <w:szCs w:val="24"/>
        </w:rPr>
        <w:t xml:space="preserve">Web </w:t>
      </w:r>
      <w:r>
        <w:rPr>
          <w:rFonts w:hint="eastAsia" w:ascii="宋体" w:cs="宋体"/>
          <w:kern w:val="0"/>
          <w:szCs w:val="24"/>
        </w:rPr>
        <w:t>应用、</w:t>
      </w:r>
      <w:r>
        <w:rPr>
          <w:rFonts w:ascii="宋体" w:cs="宋体"/>
          <w:kern w:val="0"/>
          <w:szCs w:val="24"/>
        </w:rPr>
        <w:t>AS400</w:t>
      </w:r>
      <w:r>
        <w:rPr>
          <w:rFonts w:hint="eastAsia" w:ascii="宋体" w:cs="宋体"/>
          <w:kern w:val="0"/>
          <w:szCs w:val="24"/>
        </w:rPr>
        <w:t>、企业自定义应用交付：支持</w:t>
      </w:r>
      <w:r>
        <w:rPr>
          <w:rFonts w:ascii="宋体" w:cs="宋体"/>
          <w:kern w:val="0"/>
          <w:szCs w:val="24"/>
        </w:rPr>
        <w:t xml:space="preserve">Web </w:t>
      </w:r>
      <w:r>
        <w:rPr>
          <w:rFonts w:hint="eastAsia" w:ascii="宋体" w:cs="宋体"/>
          <w:kern w:val="0"/>
          <w:szCs w:val="24"/>
        </w:rPr>
        <w:t>应用与企业自定义应用端到端交付，支持</w:t>
      </w:r>
      <w:r>
        <w:rPr>
          <w:rFonts w:ascii="宋体" w:cs="宋体"/>
          <w:kern w:val="0"/>
          <w:szCs w:val="24"/>
        </w:rPr>
        <w:t xml:space="preserve">AS400 </w:t>
      </w:r>
      <w:r>
        <w:rPr>
          <w:rFonts w:hint="eastAsia" w:ascii="宋体" w:cs="宋体"/>
          <w:kern w:val="0"/>
          <w:szCs w:val="24"/>
        </w:rPr>
        <w:t>管理工具端到端交付，支持单点登录。支持自定义开发。</w:t>
      </w:r>
    </w:p>
    <w:p>
      <w:pPr>
        <w:pStyle w:val="46"/>
        <w:numPr>
          <w:ilvl w:val="0"/>
          <w:numId w:val="13"/>
        </w:numPr>
      </w:pPr>
      <w:bookmarkStart w:id="67" w:name="_Toc343876374"/>
      <w:bookmarkStart w:id="68" w:name="_Toc461688708"/>
      <w:bookmarkStart w:id="69" w:name="_Toc140011118"/>
      <w:bookmarkStart w:id="70" w:name="_Toc162270060"/>
      <w:bookmarkStart w:id="71" w:name="_Toc140137041"/>
      <w:bookmarkStart w:id="72" w:name="_Toc461958775"/>
      <w:r>
        <w:rPr>
          <w:rFonts w:hint="eastAsia"/>
        </w:rPr>
        <w:t>字符终端审计</w:t>
      </w:r>
      <w:bookmarkEnd w:id="67"/>
      <w:bookmarkEnd w:id="68"/>
      <w:bookmarkEnd w:id="69"/>
      <w:bookmarkEnd w:id="70"/>
      <w:bookmarkEnd w:id="71"/>
      <w:bookmarkEnd w:id="72"/>
    </w:p>
    <w:p>
      <w:pPr>
        <w:numPr>
          <w:ilvl w:val="0"/>
          <w:numId w:val="12"/>
        </w:numPr>
        <w:spacing w:after="156" w:line="360" w:lineRule="auto"/>
        <w:rPr>
          <w:rFonts w:asciiTheme="minorEastAsia" w:hAnsiTheme="minorEastAsia"/>
          <w:sz w:val="24"/>
        </w:rPr>
      </w:pPr>
      <w:r>
        <w:rPr>
          <w:rFonts w:hint="eastAsia" w:asciiTheme="minorEastAsia" w:hAnsiTheme="minorEastAsia"/>
          <w:sz w:val="24"/>
        </w:rPr>
        <w:t>实时捕获和识别用户输入命令，摆脱单纯键盘监控和捕获机制，真正做到语义级别的用户命令智能捕获，并对其进行策略审计；</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支持所有功能键的使用，能自动捕获功能键扩展后的操作命令（如TAB补齐，UP、DOWN功能键，BACKSPACE回退删除等）；</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支持粘贴、组合命令捕获和控制；</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支持“多行超长命令”在线编辑命令识别，支持功能键扩展命令识别，如LINUX操作系统  CTRL+R指令扩展命令识别；</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命令捕获结果可以通过SYSLOG实时发送给专用SYSLOG日志服务器，方便第三方系统集成和整合；</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支持WEB在线播放，提供字符终端操作JAVA播放器，能够完整回放用户操作全过程，还原用户操作现场。</w:t>
      </w:r>
    </w:p>
    <w:p>
      <w:pPr>
        <w:pStyle w:val="46"/>
        <w:numPr>
          <w:ilvl w:val="0"/>
          <w:numId w:val="13"/>
        </w:numPr>
      </w:pPr>
      <w:bookmarkStart w:id="73" w:name="_Toc461958776"/>
      <w:bookmarkStart w:id="74" w:name="_Toc140137042"/>
      <w:bookmarkStart w:id="75" w:name="_Toc162270061"/>
      <w:bookmarkStart w:id="76" w:name="_Toc140011119"/>
      <w:bookmarkStart w:id="77" w:name="_Toc343876375"/>
      <w:bookmarkStart w:id="78" w:name="_Toc461688709"/>
      <w:r>
        <w:rPr>
          <w:rFonts w:hint="eastAsia"/>
        </w:rPr>
        <w:t>图形终端审计</w:t>
      </w:r>
      <w:bookmarkEnd w:id="73"/>
      <w:bookmarkEnd w:id="74"/>
      <w:bookmarkEnd w:id="75"/>
      <w:bookmarkEnd w:id="76"/>
      <w:bookmarkEnd w:id="77"/>
      <w:bookmarkEnd w:id="78"/>
    </w:p>
    <w:p>
      <w:pPr>
        <w:numPr>
          <w:ilvl w:val="0"/>
          <w:numId w:val="12"/>
        </w:numPr>
        <w:spacing w:after="156" w:line="360" w:lineRule="auto"/>
        <w:rPr>
          <w:rFonts w:asciiTheme="minorEastAsia" w:hAnsiTheme="minorEastAsia"/>
          <w:sz w:val="24"/>
        </w:rPr>
      </w:pPr>
      <w:r>
        <w:rPr>
          <w:rFonts w:hint="eastAsia" w:asciiTheme="minorEastAsia" w:hAnsiTheme="minorEastAsia"/>
          <w:sz w:val="24"/>
        </w:rPr>
        <w:t>通过RDP客户端（mstsc.exe），统一操作管理支持RDP、VNC、X11协议的服务器。RDP客户端支持任何版本，包括Rdesktop，JAVA RDP客户端，任何Windows RDP客户端；</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实现对RDP、VNC、X11操作单点登录的全面支持，解决方案完备性；</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支持X11图形操作审计，防止用户利用X11跳转登录，逃避监控；</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支持RDP、VNC、X11图形在线和离线回放功能；</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提供WEB播放器（JAVATM安全控件），不用安装厂商特殊审计客户端软件即可做到图形审计。</w:t>
      </w:r>
    </w:p>
    <w:p>
      <w:pPr>
        <w:pStyle w:val="46"/>
        <w:numPr>
          <w:ilvl w:val="0"/>
          <w:numId w:val="13"/>
        </w:numPr>
      </w:pPr>
      <w:bookmarkStart w:id="79" w:name="_Toc343876377"/>
      <w:bookmarkStart w:id="80" w:name="_Toc162270062"/>
      <w:bookmarkStart w:id="81" w:name="_Toc461688710"/>
      <w:bookmarkStart w:id="82" w:name="_Toc461958777"/>
      <w:bookmarkStart w:id="83" w:name="_Toc140137043"/>
      <w:bookmarkStart w:id="84" w:name="_Toc140011120"/>
      <w:r>
        <w:rPr>
          <w:rFonts w:hint="eastAsia"/>
        </w:rPr>
        <w:t>文件传输审计</w:t>
      </w:r>
      <w:bookmarkEnd w:id="79"/>
      <w:bookmarkEnd w:id="80"/>
      <w:bookmarkEnd w:id="81"/>
      <w:bookmarkEnd w:id="82"/>
      <w:bookmarkEnd w:id="83"/>
      <w:bookmarkEnd w:id="84"/>
    </w:p>
    <w:p>
      <w:pPr>
        <w:numPr>
          <w:ilvl w:val="0"/>
          <w:numId w:val="12"/>
        </w:numPr>
        <w:spacing w:after="156" w:line="360" w:lineRule="auto"/>
        <w:rPr>
          <w:rFonts w:asciiTheme="minorEastAsia" w:hAnsiTheme="minorEastAsia"/>
          <w:sz w:val="24"/>
        </w:rPr>
      </w:pPr>
      <w:r>
        <w:rPr>
          <w:rFonts w:hint="eastAsia" w:asciiTheme="minorEastAsia" w:hAnsiTheme="minorEastAsia"/>
          <w:sz w:val="24"/>
        </w:rPr>
        <w:t>提供FTP代理，审计和控制FTP传输。</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提供统一SFTP文件传输界面，审计SFTP文件传输过程。</w:t>
      </w:r>
    </w:p>
    <w:p>
      <w:pPr>
        <w:pStyle w:val="46"/>
        <w:numPr>
          <w:ilvl w:val="0"/>
          <w:numId w:val="13"/>
        </w:numPr>
      </w:pPr>
      <w:bookmarkStart w:id="85" w:name="_Toc140011121"/>
      <w:bookmarkStart w:id="86" w:name="_Toc461688711"/>
      <w:bookmarkStart w:id="87" w:name="_Toc162270063"/>
      <w:bookmarkStart w:id="88" w:name="_Toc343876365"/>
      <w:bookmarkStart w:id="89" w:name="_Toc461958778"/>
      <w:bookmarkStart w:id="90" w:name="_Toc140137044"/>
      <w:r>
        <w:rPr>
          <w:rFonts w:hint="eastAsia"/>
        </w:rPr>
        <w:t>统一身份管理</w:t>
      </w:r>
      <w:bookmarkEnd w:id="85"/>
      <w:bookmarkEnd w:id="86"/>
      <w:bookmarkEnd w:id="87"/>
      <w:bookmarkEnd w:id="88"/>
      <w:bookmarkEnd w:id="89"/>
      <w:bookmarkEnd w:id="90"/>
    </w:p>
    <w:p>
      <w:pPr>
        <w:pStyle w:val="34"/>
        <w:spacing w:line="360" w:lineRule="auto"/>
        <w:ind w:firstLine="180" w:firstLineChars="0"/>
        <w:rPr>
          <w:rFonts w:asciiTheme="minorEastAsia" w:hAnsiTheme="minorEastAsia"/>
          <w:sz w:val="24"/>
          <w:szCs w:val="24"/>
        </w:rPr>
      </w:pPr>
      <w:r>
        <w:rPr>
          <w:rFonts w:hint="eastAsia" w:asciiTheme="minorEastAsia" w:hAnsiTheme="minorEastAsia"/>
          <w:sz w:val="24"/>
          <w:szCs w:val="24"/>
        </w:rPr>
        <w:t>建立基于每位自然人对应一个主账号的身份管理体系，是整个安全审计系统的基石。“自然人——账号”对应模型能将审计日志与操作人员准确关联。</w:t>
      </w:r>
    </w:p>
    <w:p>
      <w:pPr>
        <w:pStyle w:val="34"/>
        <w:spacing w:line="360" w:lineRule="auto"/>
        <w:ind w:firstLine="180" w:firstLineChars="0"/>
        <w:rPr>
          <w:rFonts w:asciiTheme="minorEastAsia" w:hAnsiTheme="minorEastAsia"/>
          <w:sz w:val="24"/>
          <w:szCs w:val="24"/>
        </w:rPr>
      </w:pPr>
      <w:r>
        <w:rPr>
          <w:rFonts w:hint="eastAsia" w:asciiTheme="minorEastAsia" w:hAnsiTheme="minorEastAsia"/>
          <w:sz w:val="24"/>
          <w:szCs w:val="24"/>
        </w:rPr>
        <w:t>360运维安全管理系统在系统层面将自然人账号划分为六大类角色，如下表所示。</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6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pStyle w:val="19"/>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角色</w:t>
            </w:r>
          </w:p>
        </w:tc>
        <w:tc>
          <w:tcPr>
            <w:tcW w:w="6913" w:type="dxa"/>
          </w:tcPr>
          <w:p>
            <w:pPr>
              <w:pStyle w:val="19"/>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功能权限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pStyle w:val="19"/>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超级用户</w:t>
            </w:r>
          </w:p>
        </w:tc>
        <w:tc>
          <w:tcPr>
            <w:tcW w:w="6913" w:type="dxa"/>
          </w:tcPr>
          <w:p>
            <w:pPr>
              <w:pStyle w:val="19"/>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最高权限用户角色，可进行所有系统配置、用户管理、权限授权以及操作审计等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pStyle w:val="19"/>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权限管理员</w:t>
            </w:r>
          </w:p>
        </w:tc>
        <w:tc>
          <w:tcPr>
            <w:tcW w:w="6913" w:type="dxa"/>
          </w:tcPr>
          <w:p>
            <w:pPr>
              <w:pStyle w:val="19"/>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拥有用户管理、授权管理权限，能够添加删除用户，能完成用户/用户组、设备/设备组关联授权。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pStyle w:val="19"/>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资产管理员</w:t>
            </w:r>
          </w:p>
        </w:tc>
        <w:tc>
          <w:tcPr>
            <w:tcW w:w="6913" w:type="dxa"/>
          </w:tcPr>
          <w:p>
            <w:pPr>
              <w:pStyle w:val="19"/>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拥有资产添加/批量编辑权限，包括添加、编辑、删除权限。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pStyle w:val="19"/>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审计管理员</w:t>
            </w:r>
          </w:p>
        </w:tc>
        <w:tc>
          <w:tcPr>
            <w:tcW w:w="6913" w:type="dxa"/>
          </w:tcPr>
          <w:p>
            <w:pPr>
              <w:pStyle w:val="19"/>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拥有审计权限，能够审计所有用户运维操作结果。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pStyle w:val="19"/>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密码管理员</w:t>
            </w:r>
          </w:p>
        </w:tc>
        <w:tc>
          <w:tcPr>
            <w:tcW w:w="6913" w:type="dxa"/>
          </w:tcPr>
          <w:p>
            <w:pPr>
              <w:pStyle w:val="19"/>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拥有账号密码管理权限，只有密码管理员才能管理账号密码。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pStyle w:val="19"/>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普通用户</w:t>
            </w:r>
          </w:p>
        </w:tc>
        <w:tc>
          <w:tcPr>
            <w:tcW w:w="6913" w:type="dxa"/>
          </w:tcPr>
          <w:p>
            <w:pPr>
              <w:pStyle w:val="19"/>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拥有访问被授权管理设备权限和自身信息修改及自身密码修改权限。</w:t>
            </w:r>
          </w:p>
        </w:tc>
      </w:tr>
    </w:tbl>
    <w:p>
      <w:pPr>
        <w:spacing w:after="156" w:line="360" w:lineRule="auto"/>
        <w:ind w:firstLine="420"/>
        <w:rPr>
          <w:rFonts w:asciiTheme="minorEastAsia" w:hAnsiTheme="minorEastAsia"/>
          <w:sz w:val="24"/>
        </w:rPr>
      </w:pPr>
      <w:r>
        <w:rPr>
          <w:rFonts w:hint="eastAsia" w:asciiTheme="minorEastAsia" w:hAnsiTheme="minorEastAsia"/>
          <w:sz w:val="24"/>
        </w:rPr>
        <w:t>通过上述用户角色的划分，避免了权限过分集中以及由此引起的安全隐患的集中，也使安全审计的管理更加合规、合理、可行。</w:t>
      </w:r>
    </w:p>
    <w:p>
      <w:pPr>
        <w:pStyle w:val="46"/>
        <w:numPr>
          <w:ilvl w:val="0"/>
          <w:numId w:val="13"/>
        </w:numPr>
      </w:pPr>
      <w:bookmarkStart w:id="91" w:name="_Toc461958779"/>
      <w:bookmarkStart w:id="92" w:name="_Toc461688712"/>
      <w:bookmarkStart w:id="93" w:name="_Toc140011122"/>
      <w:bookmarkStart w:id="94" w:name="_Toc140137045"/>
      <w:bookmarkStart w:id="95" w:name="_Toc343876366"/>
      <w:bookmarkStart w:id="96" w:name="_Toc162270064"/>
      <w:r>
        <w:rPr>
          <w:rFonts w:hint="eastAsia"/>
        </w:rPr>
        <w:t>接入认证方式</w:t>
      </w:r>
      <w:bookmarkEnd w:id="91"/>
      <w:bookmarkEnd w:id="92"/>
      <w:bookmarkEnd w:id="93"/>
      <w:bookmarkEnd w:id="94"/>
      <w:bookmarkEnd w:id="95"/>
      <w:bookmarkEnd w:id="96"/>
    </w:p>
    <w:p>
      <w:pPr>
        <w:spacing w:after="156" w:line="360" w:lineRule="auto"/>
        <w:ind w:firstLine="420"/>
        <w:rPr>
          <w:rFonts w:asciiTheme="minorEastAsia" w:hAnsiTheme="minorEastAsia"/>
          <w:sz w:val="24"/>
        </w:rPr>
      </w:pPr>
      <w:r>
        <w:rPr>
          <w:rFonts w:hint="eastAsia" w:asciiTheme="minorEastAsia" w:hAnsiTheme="minorEastAsia"/>
          <w:sz w:val="24"/>
        </w:rPr>
        <w:t>360运维安全管理系统内部采用高度灵活的体系架构，具备极强的可扩展性。在身份认证功能模块，即可以本地身份认证，也支持外部认证方式。目前已支持的外部认证方式包括：windows系统AD域认证，Radius认证，数字证书认证，且内置UKEY功能，无需另购UKEY认证设备。完全满足企业信息系统多因子认证安全要求。</w:t>
      </w:r>
    </w:p>
    <w:p>
      <w:pPr>
        <w:pStyle w:val="46"/>
        <w:numPr>
          <w:ilvl w:val="0"/>
          <w:numId w:val="13"/>
        </w:numPr>
      </w:pPr>
      <w:bookmarkStart w:id="97" w:name="_Toc461958780"/>
      <w:bookmarkStart w:id="98" w:name="_Toc140137046"/>
      <w:bookmarkStart w:id="99" w:name="_Toc343876369"/>
      <w:bookmarkStart w:id="100" w:name="_Toc461688713"/>
      <w:bookmarkStart w:id="101" w:name="_Toc140011123"/>
      <w:bookmarkStart w:id="102" w:name="_Toc162270065"/>
      <w:r>
        <w:rPr>
          <w:rFonts w:hint="eastAsia"/>
        </w:rPr>
        <w:t>访问控制功能</w:t>
      </w:r>
      <w:bookmarkEnd w:id="97"/>
      <w:bookmarkEnd w:id="98"/>
      <w:bookmarkEnd w:id="99"/>
      <w:bookmarkEnd w:id="100"/>
      <w:bookmarkEnd w:id="101"/>
      <w:bookmarkEnd w:id="102"/>
    </w:p>
    <w:p>
      <w:pPr>
        <w:spacing w:after="156" w:line="360" w:lineRule="auto"/>
        <w:ind w:firstLine="420"/>
        <w:rPr>
          <w:rFonts w:asciiTheme="minorEastAsia" w:hAnsiTheme="minorEastAsia"/>
          <w:sz w:val="24"/>
        </w:rPr>
      </w:pPr>
      <w:r>
        <w:rPr>
          <w:rFonts w:hint="eastAsia" w:asciiTheme="minorEastAsia" w:hAnsiTheme="minorEastAsia"/>
          <w:sz w:val="24"/>
        </w:rPr>
        <w:t>支持对高危操作命令的阻断和告警，有效控制运维操作带来的风险。命令控制策略支持命令模式和参数模式，能精确控制用户使用的命令及其参数；</w:t>
      </w:r>
    </w:p>
    <w:p>
      <w:pPr>
        <w:spacing w:after="156" w:line="360" w:lineRule="auto"/>
        <w:ind w:firstLine="420"/>
        <w:rPr>
          <w:rFonts w:asciiTheme="minorEastAsia" w:hAnsiTheme="minorEastAsia"/>
          <w:sz w:val="24"/>
        </w:rPr>
      </w:pPr>
      <w:r>
        <w:rPr>
          <w:rFonts w:hint="eastAsia" w:asciiTheme="minorEastAsia" w:hAnsiTheme="minorEastAsia"/>
          <w:sz w:val="24"/>
        </w:rPr>
        <w:t>可设置用户的系统登录策略，包括限制登录IP、登录时间段、端口、账号、命令等策略，以确保可信用户可访问其拥有权限的后台资源，实现对运维行为的控制。</w:t>
      </w:r>
    </w:p>
    <w:p>
      <w:pPr>
        <w:spacing w:after="156" w:line="360" w:lineRule="auto"/>
        <w:ind w:firstLine="420"/>
        <w:rPr>
          <w:rFonts w:asciiTheme="minorEastAsia" w:hAnsiTheme="minorEastAsia"/>
          <w:sz w:val="24"/>
        </w:rPr>
      </w:pPr>
      <w:r>
        <w:rPr>
          <w:rFonts w:hint="eastAsia" w:asciiTheme="minorEastAsia" w:hAnsiTheme="minorEastAsia"/>
          <w:sz w:val="24"/>
        </w:rPr>
        <w:t>管理员可以设定每个用户能够使用的黑、白策略集；</w:t>
      </w:r>
    </w:p>
    <w:p>
      <w:pPr>
        <w:spacing w:after="156" w:line="360" w:lineRule="auto"/>
        <w:ind w:firstLine="420"/>
        <w:rPr>
          <w:rFonts w:asciiTheme="minorEastAsia" w:hAnsiTheme="minorEastAsia"/>
          <w:sz w:val="24"/>
        </w:rPr>
      </w:pPr>
      <w:r>
        <w:rPr>
          <w:rFonts w:hint="eastAsia" w:asciiTheme="minorEastAsia" w:hAnsiTheme="minorEastAsia"/>
          <w:sz w:val="24"/>
        </w:rPr>
        <w:t>可设置来源IP黑名单策略，包括登录时间周期（年、月、周、日、时、分）进行控制。</w:t>
      </w:r>
    </w:p>
    <w:p>
      <w:pPr>
        <w:pStyle w:val="46"/>
        <w:numPr>
          <w:ilvl w:val="0"/>
          <w:numId w:val="13"/>
        </w:numPr>
      </w:pPr>
      <w:bookmarkStart w:id="103" w:name="_Toc343876371"/>
      <w:bookmarkStart w:id="104" w:name="_Toc461688714"/>
      <w:bookmarkStart w:id="105" w:name="_Toc140011124"/>
      <w:bookmarkStart w:id="106" w:name="_Toc461958781"/>
      <w:bookmarkStart w:id="107" w:name="_Toc140137047"/>
      <w:bookmarkStart w:id="108" w:name="_Toc162270066"/>
      <w:r>
        <w:rPr>
          <w:rFonts w:hint="eastAsia"/>
        </w:rPr>
        <w:t>单点登录</w:t>
      </w:r>
      <w:bookmarkEnd w:id="103"/>
      <w:bookmarkEnd w:id="104"/>
      <w:bookmarkEnd w:id="105"/>
      <w:bookmarkEnd w:id="106"/>
      <w:bookmarkEnd w:id="107"/>
      <w:bookmarkEnd w:id="108"/>
    </w:p>
    <w:p>
      <w:pPr>
        <w:spacing w:after="156" w:line="360" w:lineRule="auto"/>
        <w:ind w:firstLine="420"/>
        <w:rPr>
          <w:rFonts w:asciiTheme="minorEastAsia" w:hAnsiTheme="minorEastAsia"/>
          <w:sz w:val="24"/>
        </w:rPr>
      </w:pPr>
      <w:r>
        <w:rPr>
          <w:rFonts w:hint="eastAsia" w:asciiTheme="minorEastAsia" w:hAnsiTheme="minorEastAsia"/>
          <w:sz w:val="24"/>
        </w:rPr>
        <w:t>360运维安全管理系统登录门户是用户登录唯一入口，在统一安全管理平台构建后，这也是用户登录应用系统、登录主机、网络设备等资源的统一入口。用户只需登录一次360运维安全管理系统即可访问目标资源，无需输入授权资源的用户名和密码。</w:t>
      </w:r>
    </w:p>
    <w:p>
      <w:pPr>
        <w:spacing w:after="156" w:line="360" w:lineRule="auto"/>
        <w:ind w:firstLine="420"/>
        <w:rPr>
          <w:rFonts w:asciiTheme="minorEastAsia" w:hAnsiTheme="minorEastAsia"/>
          <w:sz w:val="24"/>
        </w:rPr>
      </w:pPr>
      <w:r>
        <w:rPr>
          <w:rFonts w:hint="eastAsia" w:asciiTheme="minorEastAsia" w:hAnsiTheme="minorEastAsia"/>
          <w:sz w:val="24"/>
        </w:rPr>
        <w:t>用户登录流程如下图所示：</w:t>
      </w:r>
    </w:p>
    <w:p>
      <w:pPr>
        <w:spacing w:after="156" w:line="360" w:lineRule="auto"/>
        <w:jc w:val="left"/>
        <w:rPr>
          <w:rFonts w:asciiTheme="minorEastAsia" w:hAnsiTheme="minorEastAsia"/>
          <w:sz w:val="24"/>
        </w:rPr>
      </w:pPr>
      <w:r>
        <w:rPr>
          <w:rFonts w:hint="eastAsia" w:asciiTheme="minorEastAsia" w:hAnsiTheme="minorEastAsia"/>
          <w:sz w:val="24"/>
        </w:rPr>
        <w:drawing>
          <wp:inline distT="0" distB="0" distL="0" distR="0">
            <wp:extent cx="5267325" cy="31242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67325" cy="3124200"/>
                    </a:xfrm>
                    <a:prstGeom prst="rect">
                      <a:avLst/>
                    </a:prstGeom>
                    <a:noFill/>
                    <a:ln>
                      <a:noFill/>
                    </a:ln>
                  </pic:spPr>
                </pic:pic>
              </a:graphicData>
            </a:graphic>
          </wp:inline>
        </w:drawing>
      </w:r>
    </w:p>
    <w:p>
      <w:pPr>
        <w:spacing w:after="156" w:line="360" w:lineRule="auto"/>
        <w:ind w:firstLine="420"/>
        <w:rPr>
          <w:rFonts w:asciiTheme="minorEastAsia" w:hAnsiTheme="minorEastAsia"/>
          <w:sz w:val="24"/>
        </w:rPr>
      </w:pPr>
      <w:r>
        <w:rPr>
          <w:rFonts w:hint="eastAsia" w:asciiTheme="minorEastAsia" w:hAnsiTheme="minorEastAsia"/>
          <w:sz w:val="24"/>
        </w:rPr>
        <w:t>字符终端（Telnet、SSH）单点登录，可以使用任何终端属性（VT100，VT102，VT220，LINUX，ANSI，XTERM等）工作，无需强制字符终端客户端软件使用特别属性，如VT100或者XTERM，以免造成部分服务器软件无法使用，或者由于终端属性支持不完备，用户使用不支持的终端属性工作，逃避审计。</w:t>
      </w:r>
    </w:p>
    <w:p>
      <w:pPr>
        <w:spacing w:after="156" w:line="360" w:lineRule="auto"/>
        <w:ind w:firstLine="420"/>
        <w:rPr>
          <w:rFonts w:asciiTheme="minorEastAsia" w:hAnsiTheme="minorEastAsia"/>
          <w:sz w:val="24"/>
        </w:rPr>
      </w:pPr>
      <w:r>
        <w:rPr>
          <w:rFonts w:hint="eastAsia" w:asciiTheme="minorEastAsia" w:hAnsiTheme="minorEastAsia"/>
          <w:sz w:val="24"/>
        </w:rPr>
        <w:t>图形终端（RDP、VNC、X11）单点登录支持所有微软远程桌面软件（mstsc.exe）客户端，支持RDP 6客户端，支持Windows XP SP3远程桌面客户端，支持Windows Vista SP1远程桌面客户端。</w:t>
      </w:r>
    </w:p>
    <w:p>
      <w:pPr>
        <w:spacing w:after="156" w:line="360" w:lineRule="auto"/>
        <w:ind w:firstLine="420"/>
        <w:rPr>
          <w:rFonts w:asciiTheme="minorEastAsia" w:hAnsiTheme="minorEastAsia"/>
          <w:sz w:val="24"/>
        </w:rPr>
      </w:pPr>
      <w:r>
        <w:rPr>
          <w:rFonts w:hint="eastAsia" w:asciiTheme="minorEastAsia" w:hAnsiTheme="minorEastAsia"/>
          <w:sz w:val="24"/>
        </w:rPr>
        <w:t>文件传输（FTP、SFTP）单点登录，能够控制和审计FTP、SFTP传输，提供单点登录操作界面，SFTP传输能够对目标服务器帐号和传输目录进行控制。 SFTP动态密码单点登录业界唯一。</w:t>
      </w:r>
    </w:p>
    <w:p>
      <w:pPr>
        <w:spacing w:after="156" w:line="360" w:lineRule="auto"/>
        <w:ind w:firstLine="420"/>
        <w:rPr>
          <w:rFonts w:asciiTheme="minorEastAsia" w:hAnsiTheme="minorEastAsia"/>
          <w:sz w:val="24"/>
        </w:rPr>
      </w:pPr>
      <w:r>
        <w:rPr>
          <w:rFonts w:hint="eastAsia" w:asciiTheme="minorEastAsia" w:hAnsiTheme="minorEastAsia"/>
          <w:sz w:val="24"/>
        </w:rPr>
        <w:t>WEB运维（HTTP、HTTPS）单点登录，支持各类B/S架构应用的单点登录。</w:t>
      </w:r>
    </w:p>
    <w:p>
      <w:pPr>
        <w:spacing w:after="156" w:line="360" w:lineRule="auto"/>
        <w:ind w:firstLine="420"/>
        <w:rPr>
          <w:rFonts w:asciiTheme="minorEastAsia" w:hAnsiTheme="minorEastAsia"/>
          <w:sz w:val="24"/>
        </w:rPr>
      </w:pPr>
      <w:r>
        <w:rPr>
          <w:rFonts w:hint="eastAsia" w:asciiTheme="minorEastAsia" w:hAnsiTheme="minorEastAsia"/>
          <w:sz w:val="24"/>
        </w:rPr>
        <w:t>数据库（SQL*PLUS、PL/SQL、TOAD、OEMC、DBACCESS、DB2CMD、DB2QUEST、SQLWB2005、SCVIEW4、MySQL Front）单点登录，支持各大数据库操作常用客户端的单点登录。</w:t>
      </w:r>
    </w:p>
    <w:p>
      <w:pPr>
        <w:spacing w:after="156" w:line="360" w:lineRule="auto"/>
        <w:ind w:firstLine="420"/>
        <w:rPr>
          <w:rFonts w:asciiTheme="minorEastAsia" w:hAnsiTheme="minorEastAsia"/>
          <w:sz w:val="24"/>
        </w:rPr>
      </w:pPr>
      <w:r>
        <w:rPr>
          <w:rFonts w:hint="eastAsia" w:asciiTheme="minorEastAsia" w:hAnsiTheme="minorEastAsia"/>
          <w:sz w:val="24"/>
        </w:rPr>
        <w:t>KVM终端（Avocent DSR系列、Avocent DSview系列、Raritan系列）单点登录。</w:t>
      </w:r>
    </w:p>
    <w:p>
      <w:pPr>
        <w:spacing w:after="156" w:line="360" w:lineRule="auto"/>
        <w:ind w:firstLine="420"/>
        <w:rPr>
          <w:rFonts w:asciiTheme="minorEastAsia" w:hAnsiTheme="minorEastAsia"/>
          <w:sz w:val="24"/>
        </w:rPr>
      </w:pPr>
      <w:r>
        <w:rPr>
          <w:rFonts w:hint="eastAsia" w:asciiTheme="minorEastAsia" w:hAnsiTheme="minorEastAsia"/>
          <w:sz w:val="24"/>
        </w:rPr>
        <w:t>单点登录支持用户、目标主机、目标帐号、扩展动作等复杂权限关联，根据用户进行权限设置和权限控制，方便扩展和集成。扩展动作须高度自定义，应对复杂网络环境，以便“万能”单点登录扩展。</w:t>
      </w:r>
    </w:p>
    <w:p>
      <w:pPr>
        <w:pStyle w:val="46"/>
        <w:numPr>
          <w:ilvl w:val="0"/>
          <w:numId w:val="13"/>
        </w:numPr>
      </w:pPr>
      <w:bookmarkStart w:id="109" w:name="_Toc461688715"/>
      <w:bookmarkStart w:id="110" w:name="_Toc343876367"/>
      <w:bookmarkStart w:id="111" w:name="_Toc461958782"/>
      <w:bookmarkStart w:id="112" w:name="_Toc140011125"/>
      <w:bookmarkStart w:id="113" w:name="_Toc140137048"/>
      <w:bookmarkStart w:id="114" w:name="_Toc162270067"/>
      <w:r>
        <w:rPr>
          <w:rFonts w:hint="eastAsia"/>
        </w:rPr>
        <w:t>账号集中管理</w:t>
      </w:r>
      <w:bookmarkEnd w:id="109"/>
      <w:bookmarkEnd w:id="110"/>
      <w:bookmarkEnd w:id="111"/>
      <w:bookmarkEnd w:id="112"/>
      <w:bookmarkEnd w:id="113"/>
      <w:bookmarkEnd w:id="114"/>
    </w:p>
    <w:p>
      <w:pPr>
        <w:spacing w:after="156" w:line="360" w:lineRule="auto"/>
        <w:ind w:firstLine="420"/>
        <w:rPr>
          <w:rFonts w:asciiTheme="minorEastAsia" w:hAnsiTheme="minorEastAsia"/>
          <w:sz w:val="24"/>
        </w:rPr>
      </w:pPr>
      <w:r>
        <w:rPr>
          <w:rFonts w:hint="eastAsia" w:asciiTheme="minorEastAsia" w:hAnsiTheme="minorEastAsia"/>
          <w:sz w:val="24"/>
        </w:rPr>
        <w:t>360运维安全管理系统总结多年安全审计项目经验，实现了一套创新的账号管理模式，其具有如下特点：</w:t>
      </w:r>
    </w:p>
    <w:p>
      <w:pPr>
        <w:spacing w:after="156" w:line="360" w:lineRule="auto"/>
        <w:ind w:firstLine="420"/>
        <w:rPr>
          <w:rFonts w:asciiTheme="minorEastAsia" w:hAnsiTheme="minorEastAsia"/>
          <w:sz w:val="24"/>
        </w:rPr>
      </w:pPr>
      <w:r>
        <w:rPr>
          <w:rFonts w:hint="eastAsia" w:asciiTheme="minorEastAsia" w:hAnsiTheme="minorEastAsia"/>
          <w:sz w:val="24"/>
        </w:rPr>
        <w:t>同时具备集中管理模式与分散管理模式。对任意资产，可以使用任意一种管理模式或两种模式的组合，提供了极大的管理灵活性。</w:t>
      </w:r>
    </w:p>
    <w:p>
      <w:pPr>
        <w:spacing w:after="156" w:line="360" w:lineRule="auto"/>
        <w:ind w:firstLine="420"/>
        <w:rPr>
          <w:rFonts w:asciiTheme="minorEastAsia" w:hAnsiTheme="minorEastAsia"/>
          <w:sz w:val="24"/>
        </w:rPr>
      </w:pPr>
      <w:r>
        <w:rPr>
          <w:rFonts w:hint="eastAsia" w:asciiTheme="minorEastAsia" w:hAnsiTheme="minorEastAsia"/>
          <w:b/>
          <w:bCs/>
          <w:sz w:val="24"/>
        </w:rPr>
        <w:t>集中管理模式：</w:t>
      </w:r>
      <w:r>
        <w:rPr>
          <w:rFonts w:hint="eastAsia" w:asciiTheme="minorEastAsia" w:hAnsiTheme="minorEastAsia"/>
          <w:sz w:val="24"/>
        </w:rPr>
        <w:t>灵活单点登录，实现密码周期性更改和定时修改，支持随机密码和指定密码更改；</w:t>
      </w:r>
    </w:p>
    <w:p>
      <w:pPr>
        <w:spacing w:after="156" w:line="360" w:lineRule="auto"/>
        <w:ind w:firstLine="420"/>
        <w:rPr>
          <w:rFonts w:asciiTheme="minorEastAsia" w:hAnsiTheme="minorEastAsia"/>
          <w:sz w:val="24"/>
        </w:rPr>
      </w:pPr>
      <w:r>
        <w:rPr>
          <w:rFonts w:hint="eastAsia" w:asciiTheme="minorEastAsia" w:hAnsiTheme="minorEastAsia"/>
          <w:b/>
          <w:bCs/>
          <w:sz w:val="24"/>
        </w:rPr>
        <w:t>分散管理模式：</w:t>
      </w:r>
      <w:r>
        <w:rPr>
          <w:rFonts w:hint="eastAsia" w:asciiTheme="minorEastAsia" w:hAnsiTheme="minorEastAsia"/>
          <w:sz w:val="24"/>
        </w:rPr>
        <w:t>运维用户手工输入系统账号和账号密码，解决用户账号管理体系、账号安全保护、业务系统独立、帐户机密问题。</w:t>
      </w:r>
    </w:p>
    <w:p>
      <w:pPr>
        <w:spacing w:after="156" w:line="360" w:lineRule="auto"/>
        <w:ind w:firstLine="420"/>
        <w:rPr>
          <w:rFonts w:asciiTheme="minorEastAsia" w:hAnsiTheme="minorEastAsia"/>
          <w:sz w:val="24"/>
        </w:rPr>
      </w:pPr>
      <w:r>
        <w:rPr>
          <w:rFonts w:hint="eastAsia" w:asciiTheme="minorEastAsia" w:hAnsiTheme="minorEastAsia"/>
          <w:sz w:val="24"/>
        </w:rPr>
        <w:t>支持对资产、资产组、资产账号进行批量添加、修改、删除，且支持以excel格式批量导入和导出用户帐号、密码、主机IP、主机名称、应用协议、端口号等信息。</w:t>
      </w:r>
    </w:p>
    <w:p>
      <w:pPr>
        <w:pStyle w:val="46"/>
        <w:numPr>
          <w:ilvl w:val="0"/>
          <w:numId w:val="13"/>
        </w:numPr>
      </w:pPr>
      <w:bookmarkStart w:id="115" w:name="_Toc162270068"/>
      <w:bookmarkStart w:id="116" w:name="_Toc343876368"/>
      <w:bookmarkStart w:id="117" w:name="_Toc461688716"/>
      <w:bookmarkStart w:id="118" w:name="_Toc140011126"/>
      <w:bookmarkStart w:id="119" w:name="_Toc140137049"/>
      <w:bookmarkStart w:id="120" w:name="_Toc461958783"/>
      <w:r>
        <w:rPr>
          <w:rFonts w:hint="eastAsia"/>
        </w:rPr>
        <w:t>自动改密功能</w:t>
      </w:r>
      <w:bookmarkEnd w:id="115"/>
      <w:bookmarkEnd w:id="116"/>
      <w:bookmarkEnd w:id="117"/>
      <w:bookmarkEnd w:id="118"/>
      <w:bookmarkEnd w:id="119"/>
      <w:bookmarkEnd w:id="120"/>
    </w:p>
    <w:p>
      <w:pPr>
        <w:spacing w:after="156" w:line="360" w:lineRule="auto"/>
        <w:ind w:firstLine="420"/>
        <w:rPr>
          <w:rFonts w:asciiTheme="minorEastAsia" w:hAnsiTheme="minorEastAsia"/>
          <w:sz w:val="24"/>
        </w:rPr>
      </w:pPr>
      <w:r>
        <w:rPr>
          <w:rFonts w:hint="eastAsia" w:asciiTheme="minorEastAsia" w:hAnsiTheme="minorEastAsia"/>
          <w:sz w:val="24"/>
        </w:rPr>
        <w:t>支持字符型主机的操作系统/windows2000/2003/2008的自动改密.；</w:t>
      </w:r>
    </w:p>
    <w:p>
      <w:pPr>
        <w:spacing w:after="156" w:line="360" w:lineRule="auto"/>
        <w:ind w:firstLine="420"/>
        <w:rPr>
          <w:rFonts w:asciiTheme="minorEastAsia" w:hAnsiTheme="minorEastAsia"/>
          <w:sz w:val="24"/>
        </w:rPr>
      </w:pPr>
      <w:r>
        <w:rPr>
          <w:rFonts w:hint="eastAsia" w:asciiTheme="minorEastAsia" w:hAnsiTheme="minorEastAsia"/>
          <w:sz w:val="24"/>
        </w:rPr>
        <w:t>自动更改密码支持复杂密码配置（包括字母、数字、大写、特殊字符密码随意组合）；</w:t>
      </w:r>
    </w:p>
    <w:p>
      <w:pPr>
        <w:spacing w:after="156" w:line="360" w:lineRule="auto"/>
        <w:ind w:firstLine="420"/>
        <w:rPr>
          <w:rFonts w:asciiTheme="minorEastAsia" w:hAnsiTheme="minorEastAsia"/>
          <w:sz w:val="24"/>
        </w:rPr>
      </w:pPr>
      <w:r>
        <w:rPr>
          <w:rFonts w:hint="eastAsia" w:asciiTheme="minorEastAsia" w:hAnsiTheme="minorEastAsia"/>
          <w:sz w:val="24"/>
        </w:rPr>
        <w:t>远程密码自动更改支持定时更改和周期更改；</w:t>
      </w:r>
    </w:p>
    <w:p>
      <w:pPr>
        <w:spacing w:after="156" w:line="360" w:lineRule="auto"/>
        <w:ind w:firstLine="420"/>
        <w:rPr>
          <w:rFonts w:asciiTheme="minorEastAsia" w:hAnsiTheme="minorEastAsia"/>
          <w:sz w:val="24"/>
        </w:rPr>
      </w:pPr>
      <w:r>
        <w:rPr>
          <w:rFonts w:hint="eastAsia" w:asciiTheme="minorEastAsia" w:hAnsiTheme="minorEastAsia"/>
          <w:sz w:val="24"/>
        </w:rPr>
        <w:t>能够对指定帐号的密码进行手动或自动更改；</w:t>
      </w:r>
    </w:p>
    <w:p>
      <w:pPr>
        <w:spacing w:after="156" w:line="360" w:lineRule="auto"/>
        <w:ind w:firstLine="420"/>
        <w:rPr>
          <w:rFonts w:asciiTheme="minorEastAsia" w:hAnsiTheme="minorEastAsia"/>
          <w:sz w:val="24"/>
        </w:rPr>
      </w:pPr>
      <w:r>
        <w:rPr>
          <w:rFonts w:hint="eastAsia" w:asciiTheme="minorEastAsia" w:hAnsiTheme="minorEastAsia"/>
          <w:sz w:val="24"/>
        </w:rPr>
        <w:t>远程密码自动更改的同时不影响字符终端、图形终端、SFTP传输单点登录功能，自动更改周期支持“秒”级单位；</w:t>
      </w:r>
    </w:p>
    <w:p>
      <w:pPr>
        <w:spacing w:after="156" w:line="360" w:lineRule="auto"/>
        <w:ind w:firstLine="420"/>
        <w:rPr>
          <w:rFonts w:asciiTheme="minorEastAsia" w:hAnsiTheme="minorEastAsia"/>
          <w:sz w:val="24"/>
        </w:rPr>
      </w:pPr>
      <w:r>
        <w:rPr>
          <w:rFonts w:hint="eastAsia" w:asciiTheme="minorEastAsia" w:hAnsiTheme="minorEastAsia"/>
          <w:sz w:val="24"/>
        </w:rPr>
        <w:t>无需在服务器端安装任何的改密引擎、插件、客户端，且无需开放高危端口；全面支持windows、linux、unix、网络设备等系统账号的自动改密。</w:t>
      </w:r>
    </w:p>
    <w:p>
      <w:pPr>
        <w:pStyle w:val="46"/>
        <w:numPr>
          <w:ilvl w:val="0"/>
          <w:numId w:val="13"/>
        </w:numPr>
      </w:pPr>
      <w:bookmarkStart w:id="121" w:name="_Toc461958784"/>
      <w:bookmarkStart w:id="122" w:name="_Toc140011127"/>
      <w:bookmarkStart w:id="123" w:name="_Toc162270069"/>
      <w:bookmarkStart w:id="124" w:name="_Toc461688717"/>
      <w:bookmarkStart w:id="125" w:name="_Toc140137050"/>
      <w:r>
        <w:rPr>
          <w:rFonts w:hint="eastAsia"/>
        </w:rPr>
        <w:t>密码管理</w:t>
      </w:r>
      <w:bookmarkEnd w:id="121"/>
      <w:bookmarkEnd w:id="122"/>
      <w:bookmarkEnd w:id="123"/>
      <w:bookmarkEnd w:id="124"/>
      <w:bookmarkEnd w:id="125"/>
    </w:p>
    <w:p>
      <w:pPr>
        <w:spacing w:after="156" w:line="360" w:lineRule="auto"/>
        <w:ind w:firstLine="420"/>
        <w:rPr>
          <w:rFonts w:asciiTheme="minorEastAsia" w:hAnsiTheme="minorEastAsia"/>
          <w:sz w:val="24"/>
        </w:rPr>
      </w:pPr>
      <w:r>
        <w:rPr>
          <w:rFonts w:hint="eastAsia" w:asciiTheme="minorEastAsia" w:hAnsiTheme="minorEastAsia"/>
          <w:sz w:val="24"/>
        </w:rPr>
        <w:t>支持对密码进行批量导出，导出密码需使用离线解密工具进行解密。</w:t>
      </w:r>
    </w:p>
    <w:p>
      <w:pPr>
        <w:pStyle w:val="46"/>
        <w:numPr>
          <w:ilvl w:val="0"/>
          <w:numId w:val="13"/>
        </w:numPr>
      </w:pPr>
      <w:bookmarkStart w:id="126" w:name="_Toc461688718"/>
      <w:bookmarkStart w:id="127" w:name="_Toc140011128"/>
      <w:bookmarkStart w:id="128" w:name="_Toc162270070"/>
      <w:bookmarkStart w:id="129" w:name="_Toc140137051"/>
      <w:bookmarkStart w:id="130" w:name="_Toc461958785"/>
      <w:r>
        <w:rPr>
          <w:rFonts w:hint="eastAsia"/>
        </w:rPr>
        <w:t>授权模式</w:t>
      </w:r>
      <w:bookmarkEnd w:id="126"/>
      <w:bookmarkEnd w:id="127"/>
      <w:bookmarkEnd w:id="128"/>
      <w:bookmarkEnd w:id="129"/>
      <w:bookmarkEnd w:id="130"/>
    </w:p>
    <w:p>
      <w:pPr>
        <w:spacing w:after="156" w:line="360" w:lineRule="auto"/>
        <w:ind w:firstLine="420"/>
        <w:rPr>
          <w:rFonts w:asciiTheme="minorEastAsia" w:hAnsiTheme="minorEastAsia"/>
          <w:sz w:val="24"/>
        </w:rPr>
      </w:pPr>
      <w:r>
        <w:rPr>
          <w:rFonts w:hint="eastAsia" w:asciiTheme="minorEastAsia" w:hAnsiTheme="minorEastAsia"/>
          <w:sz w:val="24"/>
        </w:rPr>
        <w:t>授权可以从设备、设备组和用户、用户组、进行“一对一”,“一对多”，“多对多”进行灵活授权，支持树状结构展现。</w:t>
      </w:r>
    </w:p>
    <w:p>
      <w:pPr>
        <w:spacing w:after="156" w:line="360" w:lineRule="auto"/>
        <w:ind w:firstLine="420"/>
        <w:rPr>
          <w:rFonts w:asciiTheme="minorEastAsia" w:hAnsiTheme="minorEastAsia"/>
          <w:sz w:val="24"/>
        </w:rPr>
      </w:pPr>
      <w:r>
        <w:rPr>
          <w:rFonts w:hint="eastAsia" w:asciiTheme="minorEastAsia" w:hAnsiTheme="minorEastAsia"/>
          <w:sz w:val="24"/>
        </w:rPr>
        <w:t>支持对相同设备账号进行批量一次性授权。</w:t>
      </w:r>
    </w:p>
    <w:p>
      <w:pPr>
        <w:spacing w:after="156" w:line="360" w:lineRule="auto"/>
        <w:ind w:firstLine="420"/>
        <w:rPr>
          <w:rFonts w:asciiTheme="minorEastAsia" w:hAnsiTheme="minorEastAsia"/>
          <w:sz w:val="24"/>
        </w:rPr>
      </w:pPr>
      <w:r>
        <w:rPr>
          <w:rFonts w:hint="eastAsia" w:asciiTheme="minorEastAsia" w:hAnsiTheme="minorEastAsia"/>
          <w:sz w:val="24"/>
        </w:rPr>
        <w:t>支持授权定制模式，可快速设定用户（用户组）对设备（设备组）中的协议账号进行授权定制：支持账号关联设定和筛选。</w:t>
      </w:r>
    </w:p>
    <w:p>
      <w:pPr>
        <w:spacing w:after="156" w:line="360" w:lineRule="auto"/>
        <w:ind w:firstLine="420"/>
        <w:rPr>
          <w:rFonts w:cs="Times New Roman" w:asciiTheme="minorEastAsia" w:hAnsiTheme="minorEastAsia"/>
          <w:b/>
          <w:bCs/>
          <w:sz w:val="30"/>
          <w:szCs w:val="32"/>
        </w:rPr>
      </w:pPr>
      <w:r>
        <w:rPr>
          <w:rFonts w:cs="Times New Roman" w:asciiTheme="minorEastAsia" w:hAnsiTheme="minorEastAsia"/>
          <w:b/>
          <w:bCs/>
          <w:sz w:val="30"/>
          <w:szCs w:val="32"/>
        </w:rPr>
        <w:t>授权审核</w:t>
      </w:r>
    </w:p>
    <w:p>
      <w:pPr>
        <w:spacing w:after="156" w:line="360" w:lineRule="auto"/>
        <w:ind w:firstLine="420"/>
        <w:rPr>
          <w:rFonts w:asciiTheme="minorEastAsia" w:hAnsiTheme="minorEastAsia"/>
          <w:sz w:val="24"/>
        </w:rPr>
      </w:pPr>
      <w:r>
        <w:rPr>
          <w:rFonts w:asciiTheme="minorEastAsia" w:hAnsiTheme="minorEastAsia"/>
          <w:sz w:val="24"/>
        </w:rPr>
        <w:t>可快速审核指定系统用户对应的用户组及拥有权限的设备组下设备的关联账号，且在同一页面进行展示；</w:t>
      </w:r>
    </w:p>
    <w:p>
      <w:pPr>
        <w:spacing w:after="156" w:line="360" w:lineRule="auto"/>
        <w:ind w:firstLine="420"/>
        <w:rPr>
          <w:rFonts w:asciiTheme="minorEastAsia" w:hAnsiTheme="minorEastAsia"/>
          <w:sz w:val="24"/>
        </w:rPr>
      </w:pPr>
      <w:r>
        <w:rPr>
          <w:rFonts w:asciiTheme="minorEastAsia" w:hAnsiTheme="minorEastAsia"/>
          <w:sz w:val="24"/>
        </w:rPr>
        <w:t>可快速审核指定资源名/资产/IP/账号对应的设备组以及具备管理权限的用户及用户所属组别；</w:t>
      </w:r>
    </w:p>
    <w:p>
      <w:pPr>
        <w:spacing w:after="156" w:line="360" w:lineRule="auto"/>
        <w:ind w:firstLine="420"/>
        <w:rPr>
          <w:rFonts w:cs="宋体" w:asciiTheme="minorEastAsia" w:hAnsiTheme="minorEastAsia"/>
          <w:kern w:val="0"/>
          <w:sz w:val="24"/>
        </w:rPr>
      </w:pPr>
      <w:r>
        <w:rPr>
          <w:rFonts w:asciiTheme="minorEastAsia" w:hAnsiTheme="minorEastAsia"/>
          <w:sz w:val="24"/>
        </w:rPr>
        <w:t xml:space="preserve">支持资产关键字、账号关键字快速查询功能。 </w:t>
      </w:r>
    </w:p>
    <w:p>
      <w:pPr>
        <w:pStyle w:val="46"/>
        <w:numPr>
          <w:ilvl w:val="0"/>
          <w:numId w:val="13"/>
        </w:numPr>
      </w:pPr>
      <w:bookmarkStart w:id="131" w:name="_Toc140011129"/>
      <w:bookmarkStart w:id="132" w:name="_Toc461958786"/>
      <w:bookmarkStart w:id="133" w:name="_Toc140137052"/>
      <w:bookmarkStart w:id="134" w:name="_Toc162270071"/>
      <w:r>
        <w:rPr>
          <w:rFonts w:hint="eastAsia"/>
        </w:rPr>
        <w:t>命令控制功能</w:t>
      </w:r>
      <w:bookmarkEnd w:id="131"/>
      <w:bookmarkEnd w:id="132"/>
      <w:bookmarkEnd w:id="133"/>
      <w:bookmarkEnd w:id="134"/>
      <w:r>
        <w:rPr>
          <w:rFonts w:hint="eastAsia"/>
        </w:rPr>
        <w:tab/>
      </w:r>
    </w:p>
    <w:p>
      <w:pPr>
        <w:spacing w:after="156" w:line="360" w:lineRule="auto"/>
        <w:ind w:firstLine="420"/>
        <w:rPr>
          <w:rFonts w:cs="宋体" w:asciiTheme="minorEastAsia" w:hAnsiTheme="minorEastAsia"/>
          <w:kern w:val="0"/>
          <w:sz w:val="24"/>
        </w:rPr>
      </w:pPr>
      <w:r>
        <w:rPr>
          <w:rFonts w:hint="eastAsia" w:asciiTheme="minorEastAsia" w:hAnsiTheme="minorEastAsia"/>
          <w:sz w:val="24"/>
        </w:rPr>
        <w:t>系统可以对字符操作的命令进行控制，通过制定命令黑白名单实现对命令的有效管理，可以对命令集合进行告警或者自动阻断，支持正则表达式匹配。其中匹配模式可分为命令模式和参数模式。（即精确匹配和模糊匹配）</w:t>
      </w:r>
    </w:p>
    <w:p>
      <w:pPr>
        <w:pStyle w:val="52"/>
        <w:numPr>
          <w:ilvl w:val="0"/>
          <w:numId w:val="15"/>
        </w:numPr>
        <w:ind w:left="709" w:hanging="709"/>
      </w:pPr>
      <w:bookmarkStart w:id="135" w:name="_Toc162270072"/>
      <w:bookmarkStart w:id="136" w:name="_Toc140011130"/>
      <w:bookmarkStart w:id="137" w:name="_Toc140137053"/>
      <w:bookmarkStart w:id="138" w:name="_Toc461958787"/>
      <w:bookmarkStart w:id="139" w:name="_Toc461688720"/>
      <w:r>
        <w:rPr>
          <w:rFonts w:hint="eastAsia"/>
        </w:rPr>
        <w:t>运维操作实时监控</w:t>
      </w:r>
      <w:bookmarkEnd w:id="135"/>
      <w:bookmarkEnd w:id="136"/>
      <w:bookmarkEnd w:id="137"/>
      <w:bookmarkEnd w:id="138"/>
      <w:bookmarkEnd w:id="139"/>
    </w:p>
    <w:p>
      <w:pPr>
        <w:numPr>
          <w:ilvl w:val="0"/>
          <w:numId w:val="12"/>
        </w:numPr>
        <w:spacing w:after="156" w:line="360" w:lineRule="auto"/>
        <w:rPr>
          <w:rFonts w:asciiTheme="minorEastAsia" w:hAnsiTheme="minorEastAsia"/>
          <w:sz w:val="24"/>
        </w:rPr>
      </w:pPr>
      <w:r>
        <w:rPr>
          <w:rFonts w:hint="eastAsia" w:asciiTheme="minorEastAsia" w:hAnsiTheme="minorEastAsia"/>
          <w:sz w:val="24"/>
        </w:rPr>
        <w:t>支持对图形、字符、应用等类型资产运维操作的实时监控并且可进行实时阻断。</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审计日志包含所有资产账号的操作，审计追溯时可使用WEB页面及离线播放工具的高级复合查询条件进行快速查询。</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录像播放使用java空间进行播放，可在播放中实现拖拽等操作。</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支持</w:t>
      </w:r>
      <w:r>
        <w:rPr>
          <w:rFonts w:asciiTheme="minorEastAsia" w:hAnsiTheme="minorEastAsia"/>
          <w:sz w:val="24"/>
        </w:rPr>
        <w:t>RDP</w:t>
      </w:r>
      <w:r>
        <w:rPr>
          <w:rFonts w:hint="eastAsia" w:asciiTheme="minorEastAsia" w:hAnsiTheme="minorEastAsia"/>
          <w:sz w:val="24"/>
        </w:rPr>
        <w:t>图形运维实时文字识别和文字提取功能，标题栏文字识别和鼠标点击操作记录。</w:t>
      </w:r>
    </w:p>
    <w:p>
      <w:pPr>
        <w:numPr>
          <w:ilvl w:val="0"/>
          <w:numId w:val="12"/>
        </w:numPr>
        <w:spacing w:after="156" w:line="360" w:lineRule="auto"/>
        <w:rPr>
          <w:rFonts w:asciiTheme="minorEastAsia" w:hAnsiTheme="minorEastAsia"/>
          <w:sz w:val="24"/>
        </w:rPr>
      </w:pPr>
      <w:r>
        <w:rPr>
          <w:rFonts w:hint="eastAsia" w:asciiTheme="minorEastAsia" w:hAnsiTheme="minorEastAsia"/>
          <w:sz w:val="24"/>
        </w:rPr>
        <w:t>审计日志不包含所有运维人员账号及资产账号密码。</w:t>
      </w:r>
    </w:p>
    <w:p>
      <w:pPr>
        <w:numPr>
          <w:ilvl w:val="0"/>
          <w:numId w:val="12"/>
        </w:numPr>
        <w:spacing w:after="120" w:line="360" w:lineRule="auto"/>
        <w:rPr>
          <w:rFonts w:asciiTheme="minorEastAsia" w:hAnsiTheme="minorEastAsia"/>
          <w:sz w:val="24"/>
        </w:rPr>
      </w:pPr>
      <w:r>
        <w:rPr>
          <w:rFonts w:hint="eastAsia" w:asciiTheme="minorEastAsia" w:hAnsiTheme="minorEastAsia"/>
          <w:sz w:val="24"/>
        </w:rPr>
        <w:t>支持对未授权操作命令的阻断和告警，有效控制运维操作带来的风险。</w:t>
      </w:r>
    </w:p>
    <w:p>
      <w:pPr>
        <w:pStyle w:val="52"/>
        <w:numPr>
          <w:ilvl w:val="0"/>
          <w:numId w:val="15"/>
        </w:numPr>
        <w:ind w:left="709" w:hanging="709"/>
      </w:pPr>
      <w:bookmarkStart w:id="140" w:name="_Toc140011131"/>
      <w:bookmarkStart w:id="141" w:name="_Toc140137054"/>
      <w:bookmarkStart w:id="142" w:name="_Toc162270073"/>
      <w:bookmarkStart w:id="143" w:name="_Toc461958788"/>
      <w:bookmarkStart w:id="144" w:name="_Toc343876381"/>
      <w:r>
        <w:rPr>
          <w:rFonts w:hint="eastAsia"/>
        </w:rPr>
        <w:t>日志报表</w:t>
      </w:r>
      <w:bookmarkEnd w:id="140"/>
      <w:bookmarkEnd w:id="141"/>
      <w:bookmarkEnd w:id="142"/>
      <w:bookmarkEnd w:id="143"/>
      <w:bookmarkEnd w:id="144"/>
    </w:p>
    <w:p>
      <w:pPr>
        <w:spacing w:after="156" w:line="360" w:lineRule="auto"/>
        <w:ind w:firstLine="420"/>
        <w:rPr>
          <w:rFonts w:asciiTheme="minorEastAsia" w:hAnsiTheme="minorEastAsia"/>
          <w:sz w:val="24"/>
        </w:rPr>
      </w:pPr>
      <w:r>
        <w:rPr>
          <w:rFonts w:hint="eastAsia" w:asciiTheme="minorEastAsia" w:hAnsiTheme="minorEastAsia"/>
          <w:sz w:val="24"/>
        </w:rPr>
        <w:t>日志记录双备份，确保证据的准确可靠，对事后取证，责任鉴定，行为跟踪等，提供准确可靠的原始依据；</w:t>
      </w:r>
    </w:p>
    <w:p>
      <w:pPr>
        <w:spacing w:after="156" w:line="360" w:lineRule="auto"/>
        <w:ind w:firstLine="420"/>
        <w:rPr>
          <w:rFonts w:asciiTheme="minorEastAsia" w:hAnsiTheme="minorEastAsia"/>
          <w:sz w:val="24"/>
        </w:rPr>
      </w:pPr>
      <w:r>
        <w:rPr>
          <w:rFonts w:hint="eastAsia" w:asciiTheme="minorEastAsia" w:hAnsiTheme="minorEastAsia"/>
          <w:sz w:val="24"/>
        </w:rPr>
        <w:t>详尽的报表功能，数据来源包括文件传输日志、字符终端日志、图形终端日志、图形应用日志、系统事件日志、系统登录日志；并可按主机地址、登录地址、用户名称、主机帐号、登录时间等参数进行统计，满足合规性审核报表。报表可由用户灵活定制，可以根据用户业务定制自动报表；</w:t>
      </w:r>
    </w:p>
    <w:p>
      <w:pPr>
        <w:spacing w:after="156" w:line="360" w:lineRule="auto"/>
        <w:ind w:firstLine="420"/>
        <w:rPr>
          <w:rFonts w:asciiTheme="minorEastAsia" w:hAnsiTheme="minorEastAsia"/>
          <w:sz w:val="24"/>
        </w:rPr>
      </w:pPr>
      <w:r>
        <w:rPr>
          <w:rFonts w:hint="eastAsia" w:asciiTheme="minorEastAsia" w:hAnsiTheme="minorEastAsia"/>
          <w:sz w:val="24"/>
        </w:rPr>
        <w:t>报表支持3D柱状图、3D饼图呈现方式，并支持txt、pdf、xls、等格式输出。</w:t>
      </w:r>
    </w:p>
    <w:p>
      <w:pPr>
        <w:spacing w:after="156" w:line="360" w:lineRule="auto"/>
        <w:rPr>
          <w:rFonts w:asciiTheme="minorEastAsia" w:hAnsiTheme="minorEastAsia"/>
          <w:sz w:val="24"/>
        </w:rPr>
      </w:pPr>
    </w:p>
    <w:p>
      <w:pPr>
        <w:pStyle w:val="47"/>
      </w:pPr>
      <w:bookmarkStart w:id="145" w:name="_Toc343876383"/>
      <w:bookmarkStart w:id="146" w:name="_Toc140011132"/>
      <w:bookmarkStart w:id="147" w:name="_Toc461958789"/>
      <w:bookmarkStart w:id="148" w:name="_Toc162270074"/>
      <w:bookmarkStart w:id="149" w:name="_Toc140137055"/>
      <w:bookmarkStart w:id="150" w:name="_Toc205888915"/>
      <w:r>
        <w:rPr>
          <w:rFonts w:hint="eastAsia"/>
        </w:rPr>
        <w:t>技术优势</w:t>
      </w:r>
      <w:bookmarkEnd w:id="145"/>
      <w:bookmarkEnd w:id="146"/>
      <w:bookmarkEnd w:id="147"/>
      <w:bookmarkEnd w:id="148"/>
      <w:bookmarkEnd w:id="149"/>
    </w:p>
    <w:p>
      <w:pPr>
        <w:pStyle w:val="46"/>
        <w:numPr>
          <w:ilvl w:val="0"/>
          <w:numId w:val="16"/>
        </w:numPr>
      </w:pPr>
      <w:bookmarkStart w:id="151" w:name="_Toc140011134"/>
      <w:bookmarkStart w:id="152" w:name="_Toc343876384"/>
      <w:bookmarkStart w:id="153" w:name="_Toc162270075"/>
      <w:bookmarkStart w:id="154" w:name="_Toc140137057"/>
      <w:bookmarkStart w:id="155" w:name="_Toc461958790"/>
      <w:r>
        <w:rPr>
          <w:rFonts w:hint="eastAsia"/>
        </w:rPr>
        <w:t>完备的统一操作运维平台</w:t>
      </w:r>
      <w:bookmarkEnd w:id="151"/>
      <w:bookmarkEnd w:id="152"/>
      <w:bookmarkEnd w:id="153"/>
      <w:bookmarkEnd w:id="154"/>
      <w:bookmarkEnd w:id="155"/>
    </w:p>
    <w:p>
      <w:pPr>
        <w:widowControl/>
        <w:spacing w:after="120" w:line="360" w:lineRule="auto"/>
        <w:ind w:firstLine="480" w:firstLineChars="200"/>
        <w:jc w:val="left"/>
        <w:rPr>
          <w:rFonts w:asciiTheme="minorEastAsia" w:hAnsiTheme="minorEastAsia"/>
          <w:sz w:val="24"/>
          <w:szCs w:val="24"/>
        </w:rPr>
      </w:pPr>
      <w:r>
        <w:rPr>
          <w:rFonts w:asciiTheme="minorEastAsia" w:hAnsiTheme="minorEastAsia"/>
          <w:sz w:val="24"/>
          <w:szCs w:val="24"/>
        </w:rPr>
        <w:t>提供统一的C/S</w:t>
      </w:r>
      <w:r>
        <w:rPr>
          <w:rFonts w:hint="eastAsia" w:asciiTheme="minorEastAsia" w:hAnsiTheme="minorEastAsia"/>
          <w:sz w:val="24"/>
          <w:szCs w:val="24"/>
        </w:rPr>
        <w:t>运维操作</w:t>
      </w:r>
      <w:r>
        <w:rPr>
          <w:rFonts w:asciiTheme="minorEastAsia" w:hAnsiTheme="minorEastAsia"/>
          <w:sz w:val="24"/>
          <w:szCs w:val="24"/>
        </w:rPr>
        <w:t>平台，用户可以通过SecureCRT</w:t>
      </w:r>
      <w:r>
        <w:rPr>
          <w:rFonts w:hint="eastAsia" w:asciiTheme="minorEastAsia" w:hAnsiTheme="minorEastAsia"/>
          <w:sz w:val="24"/>
          <w:szCs w:val="24"/>
        </w:rPr>
        <w:t>、</w:t>
      </w:r>
      <w:r>
        <w:rPr>
          <w:rFonts w:asciiTheme="minorEastAsia" w:hAnsiTheme="minorEastAsia"/>
          <w:sz w:val="24"/>
          <w:szCs w:val="24"/>
        </w:rPr>
        <w:t>Putty等字符终端</w:t>
      </w:r>
      <w:r>
        <w:rPr>
          <w:rFonts w:hint="eastAsia" w:asciiTheme="minorEastAsia" w:hAnsiTheme="minorEastAsia"/>
          <w:sz w:val="24"/>
          <w:szCs w:val="24"/>
        </w:rPr>
        <w:t>类远程管理</w:t>
      </w:r>
      <w:r>
        <w:rPr>
          <w:rFonts w:asciiTheme="minorEastAsia" w:hAnsiTheme="minorEastAsia"/>
          <w:sz w:val="24"/>
          <w:szCs w:val="24"/>
        </w:rPr>
        <w:t>客户端</w:t>
      </w:r>
      <w:r>
        <w:rPr>
          <w:rFonts w:hint="eastAsia" w:asciiTheme="minorEastAsia" w:hAnsiTheme="minorEastAsia"/>
          <w:sz w:val="24"/>
          <w:szCs w:val="24"/>
        </w:rPr>
        <w:t>软件及微软远程桌面客户端软件</w:t>
      </w:r>
      <w:r>
        <w:rPr>
          <w:rFonts w:asciiTheme="minorEastAsia" w:hAnsiTheme="minorEastAsia"/>
          <w:sz w:val="24"/>
          <w:szCs w:val="24"/>
        </w:rPr>
        <w:t>，</w:t>
      </w:r>
      <w:r>
        <w:rPr>
          <w:rFonts w:hint="eastAsia" w:asciiTheme="minorEastAsia" w:hAnsiTheme="minorEastAsia"/>
          <w:sz w:val="24"/>
          <w:szCs w:val="24"/>
        </w:rPr>
        <w:t>直接</w:t>
      </w:r>
      <w:r>
        <w:rPr>
          <w:rFonts w:asciiTheme="minorEastAsia" w:hAnsiTheme="minorEastAsia"/>
          <w:sz w:val="24"/>
          <w:szCs w:val="24"/>
        </w:rPr>
        <w:t>登录终端</w:t>
      </w:r>
      <w:r>
        <w:rPr>
          <w:rFonts w:hint="eastAsia" w:asciiTheme="minorEastAsia" w:hAnsiTheme="minorEastAsia"/>
          <w:sz w:val="24"/>
          <w:szCs w:val="24"/>
        </w:rPr>
        <w:t>运维</w:t>
      </w:r>
      <w:r>
        <w:rPr>
          <w:rFonts w:asciiTheme="minorEastAsia" w:hAnsiTheme="minorEastAsia"/>
          <w:sz w:val="24"/>
          <w:szCs w:val="24"/>
        </w:rPr>
        <w:t>平台</w:t>
      </w:r>
      <w:r>
        <w:rPr>
          <w:rFonts w:hint="eastAsia" w:asciiTheme="minorEastAsia" w:hAnsiTheme="minorEastAsia"/>
          <w:sz w:val="24"/>
          <w:szCs w:val="24"/>
        </w:rPr>
        <w:t>，集中管理字符终端及图形终端</w:t>
      </w:r>
      <w:r>
        <w:rPr>
          <w:rFonts w:asciiTheme="minorEastAsia" w:hAnsiTheme="minorEastAsia"/>
          <w:sz w:val="24"/>
          <w:szCs w:val="24"/>
        </w:rPr>
        <w:t>；</w:t>
      </w:r>
      <w:r>
        <w:rPr>
          <w:rFonts w:hint="eastAsia" w:asciiTheme="minorEastAsia" w:hAnsiTheme="minorEastAsia"/>
          <w:sz w:val="24"/>
          <w:szCs w:val="24"/>
        </w:rPr>
        <w:t xml:space="preserve"> 支持命令穿透调用运维客户端程序。</w:t>
      </w:r>
    </w:p>
    <w:p>
      <w:pPr>
        <w:widowControl/>
        <w:spacing w:after="120" w:line="360" w:lineRule="auto"/>
        <w:ind w:firstLine="480" w:firstLineChars="200"/>
        <w:jc w:val="left"/>
        <w:rPr>
          <w:rFonts w:asciiTheme="minorEastAsia" w:hAnsiTheme="minorEastAsia"/>
          <w:sz w:val="24"/>
          <w:szCs w:val="24"/>
        </w:rPr>
      </w:pPr>
      <w:r>
        <w:rPr>
          <w:rFonts w:asciiTheme="minorEastAsia" w:hAnsiTheme="minorEastAsia"/>
          <w:sz w:val="24"/>
          <w:szCs w:val="24"/>
        </w:rPr>
        <w:t>提供统一的B/S</w:t>
      </w:r>
      <w:r>
        <w:rPr>
          <w:rFonts w:hint="eastAsia" w:asciiTheme="minorEastAsia" w:hAnsiTheme="minorEastAsia"/>
          <w:sz w:val="24"/>
          <w:szCs w:val="24"/>
        </w:rPr>
        <w:t>运维操作</w:t>
      </w:r>
      <w:r>
        <w:rPr>
          <w:rFonts w:asciiTheme="minorEastAsia" w:hAnsiTheme="minorEastAsia"/>
          <w:sz w:val="24"/>
          <w:szCs w:val="24"/>
        </w:rPr>
        <w:t>平台，</w:t>
      </w:r>
      <w:r>
        <w:rPr>
          <w:rFonts w:hint="eastAsia" w:asciiTheme="minorEastAsia" w:hAnsiTheme="minorEastAsia"/>
          <w:sz w:val="24"/>
          <w:szCs w:val="24"/>
        </w:rPr>
        <w:t>用户可以通过</w:t>
      </w:r>
      <w:r>
        <w:rPr>
          <w:rFonts w:asciiTheme="minorEastAsia" w:hAnsiTheme="minorEastAsia"/>
          <w:sz w:val="24"/>
          <w:szCs w:val="24"/>
        </w:rPr>
        <w:t>B/S</w:t>
      </w:r>
      <w:r>
        <w:rPr>
          <w:rFonts w:hint="eastAsia" w:asciiTheme="minorEastAsia" w:hAnsiTheme="minorEastAsia"/>
          <w:sz w:val="24"/>
          <w:szCs w:val="24"/>
        </w:rPr>
        <w:t>运维</w:t>
      </w:r>
      <w:r>
        <w:rPr>
          <w:rFonts w:asciiTheme="minorEastAsia" w:hAnsiTheme="minorEastAsia"/>
          <w:sz w:val="24"/>
          <w:szCs w:val="24"/>
        </w:rPr>
        <w:t>平台</w:t>
      </w:r>
      <w:r>
        <w:rPr>
          <w:rFonts w:hint="eastAsia" w:asciiTheme="minorEastAsia" w:hAnsiTheme="minorEastAsia"/>
          <w:sz w:val="24"/>
          <w:szCs w:val="24"/>
        </w:rPr>
        <w:t>，</w:t>
      </w:r>
      <w:r>
        <w:rPr>
          <w:rFonts w:asciiTheme="minorEastAsia" w:hAnsiTheme="minorEastAsia"/>
          <w:sz w:val="24"/>
          <w:szCs w:val="24"/>
        </w:rPr>
        <w:t>调用现有SecureCRT</w:t>
      </w:r>
      <w:r>
        <w:rPr>
          <w:rFonts w:hint="eastAsia" w:asciiTheme="minorEastAsia" w:hAnsiTheme="minorEastAsia"/>
          <w:sz w:val="24"/>
          <w:szCs w:val="24"/>
        </w:rPr>
        <w:t>、</w:t>
      </w:r>
      <w:r>
        <w:rPr>
          <w:rFonts w:asciiTheme="minorEastAsia" w:hAnsiTheme="minorEastAsia"/>
          <w:sz w:val="24"/>
          <w:szCs w:val="24"/>
        </w:rPr>
        <w:t>Putty</w:t>
      </w:r>
      <w:r>
        <w:rPr>
          <w:rFonts w:hint="eastAsia" w:asciiTheme="minorEastAsia" w:hAnsiTheme="minorEastAsia"/>
          <w:sz w:val="24"/>
          <w:szCs w:val="24"/>
        </w:rPr>
        <w:t>、微软远程桌面客户端</w:t>
      </w:r>
      <w:r>
        <w:rPr>
          <w:rFonts w:asciiTheme="minorEastAsia" w:hAnsiTheme="minorEastAsia"/>
          <w:sz w:val="24"/>
          <w:szCs w:val="24"/>
        </w:rPr>
        <w:t>等</w:t>
      </w:r>
      <w:r>
        <w:rPr>
          <w:rFonts w:hint="eastAsia" w:asciiTheme="minorEastAsia" w:hAnsiTheme="minorEastAsia"/>
          <w:sz w:val="24"/>
          <w:szCs w:val="24"/>
        </w:rPr>
        <w:t>远程管理客户端软件</w:t>
      </w:r>
      <w:r>
        <w:rPr>
          <w:rFonts w:asciiTheme="minorEastAsia" w:hAnsiTheme="minorEastAsia"/>
          <w:sz w:val="24"/>
          <w:szCs w:val="24"/>
        </w:rPr>
        <w:t>，</w:t>
      </w:r>
      <w:r>
        <w:rPr>
          <w:rFonts w:hint="eastAsia" w:asciiTheme="minorEastAsia" w:hAnsiTheme="minorEastAsia"/>
          <w:sz w:val="24"/>
          <w:szCs w:val="24"/>
        </w:rPr>
        <w:t>通过一次一密认证系统，</w:t>
      </w:r>
      <w:r>
        <w:rPr>
          <w:rFonts w:asciiTheme="minorEastAsia" w:hAnsiTheme="minorEastAsia"/>
          <w:sz w:val="24"/>
          <w:szCs w:val="24"/>
        </w:rPr>
        <w:t>完成单点登录</w:t>
      </w:r>
      <w:r>
        <w:rPr>
          <w:rFonts w:hint="eastAsia" w:asciiTheme="minorEastAsia" w:hAnsiTheme="minorEastAsia"/>
          <w:sz w:val="24"/>
          <w:szCs w:val="24"/>
        </w:rPr>
        <w:t>。</w:t>
      </w:r>
    </w:p>
    <w:p>
      <w:pPr>
        <w:pStyle w:val="46"/>
        <w:numPr>
          <w:ilvl w:val="0"/>
          <w:numId w:val="16"/>
        </w:numPr>
      </w:pPr>
      <w:bookmarkStart w:id="156" w:name="_Toc162270076"/>
      <w:bookmarkStart w:id="157" w:name="_Toc140011135"/>
      <w:bookmarkStart w:id="158" w:name="_Toc140137058"/>
      <w:bookmarkStart w:id="159" w:name="_Toc343876385"/>
      <w:bookmarkStart w:id="160" w:name="_Toc461958791"/>
      <w:r>
        <w:rPr>
          <w:rFonts w:hint="eastAsia"/>
        </w:rPr>
        <w:t>国产化系统及数据库支持</w:t>
      </w:r>
      <w:bookmarkEnd w:id="156"/>
      <w:bookmarkEnd w:id="157"/>
      <w:bookmarkEnd w:id="158"/>
    </w:p>
    <w:p>
      <w:pPr>
        <w:widowControl/>
        <w:spacing w:after="120"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360运维安全管理系统可支持国产操作系统，如凝思、通信、麒麟、culinux等操作系统的运维、管理和审计。</w:t>
      </w:r>
    </w:p>
    <w:p>
      <w:pPr>
        <w:widowControl/>
        <w:spacing w:after="120"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360运维安全管理系统可支持国产数据库的运维操作和审计，如达梦、金仓、高斯、阿里oceanbase等。</w:t>
      </w:r>
    </w:p>
    <w:p>
      <w:pPr>
        <w:pStyle w:val="46"/>
        <w:numPr>
          <w:ilvl w:val="0"/>
          <w:numId w:val="16"/>
        </w:numPr>
      </w:pPr>
      <w:bookmarkStart w:id="161" w:name="_Toc140011136"/>
      <w:bookmarkStart w:id="162" w:name="_Toc140137059"/>
      <w:bookmarkStart w:id="163" w:name="_Toc162270077"/>
      <w:r>
        <w:rPr>
          <w:rFonts w:hint="eastAsia"/>
        </w:rPr>
        <w:t>全面的认证系统支持</w:t>
      </w:r>
      <w:bookmarkEnd w:id="161"/>
      <w:bookmarkEnd w:id="162"/>
      <w:bookmarkEnd w:id="163"/>
    </w:p>
    <w:p>
      <w:pPr>
        <w:widowControl/>
        <w:spacing w:after="120"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360运维安全管理系统支持1</w:t>
      </w:r>
      <w:r>
        <w:rPr>
          <w:rFonts w:asciiTheme="minorEastAsia" w:hAnsiTheme="minorEastAsia"/>
          <w:sz w:val="24"/>
          <w:szCs w:val="24"/>
        </w:rPr>
        <w:t>0</w:t>
      </w:r>
      <w:r>
        <w:rPr>
          <w:rFonts w:hint="eastAsia" w:asciiTheme="minorEastAsia" w:hAnsiTheme="minorEastAsia"/>
          <w:sz w:val="24"/>
          <w:szCs w:val="24"/>
        </w:rPr>
        <w:t>余种认证系统，如本地认证、</w:t>
      </w:r>
      <w:r>
        <w:rPr>
          <w:rFonts w:asciiTheme="minorEastAsia" w:hAnsiTheme="minorEastAsia"/>
          <w:sz w:val="24"/>
          <w:szCs w:val="24"/>
        </w:rPr>
        <w:t>AD</w:t>
      </w:r>
      <w:r>
        <w:rPr>
          <w:rFonts w:hint="eastAsia" w:asciiTheme="minorEastAsia" w:hAnsiTheme="minorEastAsia"/>
          <w:sz w:val="24"/>
          <w:szCs w:val="24"/>
        </w:rPr>
        <w:t>域认证、L</w:t>
      </w:r>
      <w:r>
        <w:rPr>
          <w:rFonts w:asciiTheme="minorEastAsia" w:hAnsiTheme="minorEastAsia"/>
          <w:sz w:val="24"/>
          <w:szCs w:val="24"/>
        </w:rPr>
        <w:t>ADP</w:t>
      </w:r>
      <w:r>
        <w:rPr>
          <w:rFonts w:hint="eastAsia" w:asciiTheme="minorEastAsia" w:hAnsiTheme="minorEastAsia"/>
          <w:sz w:val="24"/>
          <w:szCs w:val="24"/>
        </w:rPr>
        <w:t>认证、第三方证书认证、内置证书认证、</w:t>
      </w:r>
      <w:r>
        <w:rPr>
          <w:rFonts w:asciiTheme="minorEastAsia" w:hAnsiTheme="minorEastAsia"/>
          <w:sz w:val="24"/>
          <w:szCs w:val="24"/>
        </w:rPr>
        <w:t>RADIUS</w:t>
      </w:r>
      <w:r>
        <w:rPr>
          <w:rFonts w:hint="eastAsia" w:asciiTheme="minorEastAsia" w:hAnsiTheme="minorEastAsia"/>
          <w:sz w:val="24"/>
          <w:szCs w:val="24"/>
        </w:rPr>
        <w:t>认证、</w:t>
      </w:r>
      <w:r>
        <w:rPr>
          <w:rFonts w:asciiTheme="minorEastAsia" w:hAnsiTheme="minorEastAsia"/>
          <w:sz w:val="24"/>
          <w:szCs w:val="24"/>
        </w:rPr>
        <w:t>OTP</w:t>
      </w:r>
      <w:r>
        <w:rPr>
          <w:rFonts w:hint="eastAsia" w:asciiTheme="minorEastAsia" w:hAnsiTheme="minorEastAsia"/>
          <w:sz w:val="24"/>
          <w:szCs w:val="24"/>
        </w:rPr>
        <w:t>认证、指纹认证、短信认证、</w:t>
      </w:r>
      <w:r>
        <w:rPr>
          <w:rFonts w:asciiTheme="minorEastAsia" w:hAnsiTheme="minorEastAsia"/>
          <w:sz w:val="24"/>
          <w:szCs w:val="24"/>
        </w:rPr>
        <w:t>SMAL</w:t>
      </w:r>
      <w:r>
        <w:rPr>
          <w:rFonts w:hint="eastAsia" w:asciiTheme="minorEastAsia" w:hAnsiTheme="minorEastAsia"/>
          <w:sz w:val="24"/>
          <w:szCs w:val="24"/>
        </w:rPr>
        <w:t>认证、</w:t>
      </w:r>
      <w:r>
        <w:rPr>
          <w:rFonts w:asciiTheme="minorEastAsia" w:hAnsiTheme="minorEastAsia"/>
          <w:sz w:val="24"/>
          <w:szCs w:val="24"/>
        </w:rPr>
        <w:t>CAS</w:t>
      </w:r>
      <w:r>
        <w:rPr>
          <w:rFonts w:hint="eastAsia" w:asciiTheme="minorEastAsia" w:hAnsiTheme="minorEastAsia"/>
          <w:sz w:val="24"/>
          <w:szCs w:val="24"/>
        </w:rPr>
        <w:t>认证、动态令牌认证等，可按组配置认证策略，实现双因素认证和多因素认证。</w:t>
      </w:r>
    </w:p>
    <w:p>
      <w:pPr>
        <w:pStyle w:val="46"/>
        <w:numPr>
          <w:ilvl w:val="0"/>
          <w:numId w:val="16"/>
        </w:numPr>
      </w:pPr>
      <w:bookmarkStart w:id="164" w:name="_Toc140011137"/>
      <w:bookmarkStart w:id="165" w:name="_Toc162270078"/>
      <w:bookmarkStart w:id="166" w:name="_Toc140137060"/>
      <w:r>
        <w:rPr>
          <w:rFonts w:hint="eastAsia"/>
        </w:rPr>
        <w:t>H</w:t>
      </w:r>
      <w:r>
        <w:t>TML5</w:t>
      </w:r>
      <w:r>
        <w:rPr>
          <w:rFonts w:hint="eastAsia"/>
        </w:rPr>
        <w:t>运维</w:t>
      </w:r>
      <w:bookmarkEnd w:id="164"/>
      <w:bookmarkEnd w:id="165"/>
      <w:bookmarkEnd w:id="166"/>
    </w:p>
    <w:p>
      <w:pPr>
        <w:widowControl/>
        <w:spacing w:after="120"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360运维安全管理系统支持</w:t>
      </w:r>
      <w:r>
        <w:rPr>
          <w:rFonts w:asciiTheme="minorEastAsia" w:hAnsiTheme="minorEastAsia"/>
          <w:sz w:val="24"/>
          <w:szCs w:val="24"/>
        </w:rPr>
        <w:t>HTML 5</w:t>
      </w:r>
      <w:r>
        <w:rPr>
          <w:rFonts w:hint="eastAsia" w:asciiTheme="minorEastAsia" w:hAnsiTheme="minorEastAsia"/>
          <w:sz w:val="24"/>
          <w:szCs w:val="24"/>
        </w:rPr>
        <w:t>方式运维，360运维安全管理系统仅开放4</w:t>
      </w:r>
      <w:r>
        <w:rPr>
          <w:rFonts w:asciiTheme="minorEastAsia" w:hAnsiTheme="minorEastAsia"/>
          <w:sz w:val="24"/>
          <w:szCs w:val="24"/>
        </w:rPr>
        <w:t>43</w:t>
      </w:r>
      <w:r>
        <w:rPr>
          <w:rFonts w:hint="eastAsia" w:asciiTheme="minorEastAsia" w:hAnsiTheme="minorEastAsia"/>
          <w:sz w:val="24"/>
          <w:szCs w:val="24"/>
        </w:rPr>
        <w:t>端口可运维所有支持的资产，做到真正意义上的web运维，同时兼容性和安全性得到最大的保障。可支持R</w:t>
      </w:r>
      <w:r>
        <w:rPr>
          <w:rFonts w:asciiTheme="minorEastAsia" w:hAnsiTheme="minorEastAsia"/>
          <w:sz w:val="24"/>
          <w:szCs w:val="24"/>
        </w:rPr>
        <w:t>DP</w:t>
      </w:r>
      <w:r>
        <w:rPr>
          <w:rFonts w:hint="eastAsia" w:asciiTheme="minorEastAsia" w:hAnsiTheme="minorEastAsia"/>
          <w:sz w:val="24"/>
          <w:szCs w:val="24"/>
        </w:rPr>
        <w:t>、</w:t>
      </w:r>
      <w:r>
        <w:rPr>
          <w:rFonts w:asciiTheme="minorEastAsia" w:hAnsiTheme="minorEastAsia"/>
          <w:sz w:val="24"/>
          <w:szCs w:val="24"/>
        </w:rPr>
        <w:t>SSH</w:t>
      </w:r>
      <w:r>
        <w:rPr>
          <w:rFonts w:hint="eastAsia" w:asciiTheme="minorEastAsia" w:hAnsiTheme="minorEastAsia"/>
          <w:sz w:val="24"/>
          <w:szCs w:val="24"/>
        </w:rPr>
        <w:t>、T</w:t>
      </w:r>
      <w:r>
        <w:rPr>
          <w:rFonts w:asciiTheme="minorEastAsia" w:hAnsiTheme="minorEastAsia"/>
          <w:sz w:val="24"/>
          <w:szCs w:val="24"/>
        </w:rPr>
        <w:t>ELNET</w:t>
      </w:r>
      <w:r>
        <w:rPr>
          <w:rFonts w:hint="eastAsia" w:asciiTheme="minorEastAsia" w:hAnsiTheme="minorEastAsia"/>
          <w:sz w:val="24"/>
          <w:szCs w:val="24"/>
        </w:rPr>
        <w:t>、X</w:t>
      </w:r>
      <w:r>
        <w:rPr>
          <w:rFonts w:asciiTheme="minorEastAsia" w:hAnsiTheme="minorEastAsia"/>
          <w:sz w:val="24"/>
          <w:szCs w:val="24"/>
        </w:rPr>
        <w:t>11</w:t>
      </w:r>
      <w:r>
        <w:rPr>
          <w:rFonts w:hint="eastAsia" w:asciiTheme="minorEastAsia" w:hAnsiTheme="minorEastAsia"/>
          <w:sz w:val="24"/>
          <w:szCs w:val="24"/>
        </w:rPr>
        <w:t>、</w:t>
      </w:r>
      <w:r>
        <w:rPr>
          <w:rFonts w:asciiTheme="minorEastAsia" w:hAnsiTheme="minorEastAsia"/>
          <w:sz w:val="24"/>
          <w:szCs w:val="24"/>
        </w:rPr>
        <w:t>WEB</w:t>
      </w:r>
      <w:r>
        <w:rPr>
          <w:rFonts w:hint="eastAsia" w:asciiTheme="minorEastAsia" w:hAnsiTheme="minorEastAsia"/>
          <w:sz w:val="24"/>
          <w:szCs w:val="24"/>
        </w:rPr>
        <w:t>应用、数据库、虚拟化等资产的H</w:t>
      </w:r>
      <w:r>
        <w:rPr>
          <w:rFonts w:asciiTheme="minorEastAsia" w:hAnsiTheme="minorEastAsia"/>
          <w:sz w:val="24"/>
          <w:szCs w:val="24"/>
        </w:rPr>
        <w:t>TML5</w:t>
      </w:r>
      <w:r>
        <w:rPr>
          <w:rFonts w:hint="eastAsia" w:asciiTheme="minorEastAsia" w:hAnsiTheme="minorEastAsia"/>
          <w:sz w:val="24"/>
          <w:szCs w:val="24"/>
        </w:rPr>
        <w:t>运维，在操作过程中可插入运维水印，防止数据库外泄。</w:t>
      </w:r>
    </w:p>
    <w:p>
      <w:pPr>
        <w:pStyle w:val="46"/>
        <w:numPr>
          <w:ilvl w:val="0"/>
          <w:numId w:val="16"/>
        </w:numPr>
      </w:pPr>
      <w:bookmarkStart w:id="167" w:name="_Toc298798002"/>
      <w:bookmarkStart w:id="168" w:name="_Toc335257264"/>
      <w:bookmarkStart w:id="169" w:name="_Toc292922782"/>
      <w:bookmarkStart w:id="170" w:name="_Toc140011138"/>
      <w:bookmarkStart w:id="171" w:name="_Toc140137062"/>
      <w:bookmarkStart w:id="172" w:name="_Toc162270079"/>
      <w:bookmarkStart w:id="173" w:name="_Toc298801314"/>
      <w:bookmarkStart w:id="174" w:name="_Toc5207030"/>
      <w:r>
        <w:t>实时监控</w:t>
      </w:r>
      <w:r>
        <w:rPr>
          <w:rFonts w:hint="eastAsia"/>
        </w:rPr>
        <w:t>技术</w:t>
      </w:r>
      <w:bookmarkEnd w:id="167"/>
      <w:bookmarkEnd w:id="168"/>
      <w:bookmarkEnd w:id="169"/>
      <w:bookmarkEnd w:id="170"/>
      <w:bookmarkEnd w:id="171"/>
      <w:bookmarkEnd w:id="172"/>
      <w:bookmarkEnd w:id="173"/>
      <w:bookmarkEnd w:id="174"/>
    </w:p>
    <w:p>
      <w:pPr>
        <w:widowControl/>
        <w:spacing w:after="120" w:line="360" w:lineRule="auto"/>
        <w:ind w:firstLine="480" w:firstLineChars="200"/>
        <w:jc w:val="left"/>
        <w:rPr>
          <w:rFonts w:asciiTheme="minorEastAsia" w:hAnsiTheme="minorEastAsia"/>
          <w:sz w:val="24"/>
          <w:szCs w:val="24"/>
        </w:rPr>
      </w:pPr>
      <w:r>
        <w:rPr>
          <w:rFonts w:asciiTheme="minorEastAsia" w:hAnsiTheme="minorEastAsia"/>
          <w:sz w:val="24"/>
          <w:szCs w:val="24"/>
        </w:rPr>
        <w:t>运维人员通过</w:t>
      </w:r>
      <w:r>
        <w:rPr>
          <w:rFonts w:hint="eastAsia" w:asciiTheme="minorEastAsia" w:hAnsiTheme="minorEastAsia"/>
          <w:sz w:val="24"/>
          <w:szCs w:val="24"/>
        </w:rPr>
        <w:t>运维审计子系统</w:t>
      </w:r>
      <w:r>
        <w:rPr>
          <w:rFonts w:asciiTheme="minorEastAsia" w:hAnsiTheme="minorEastAsia"/>
          <w:sz w:val="24"/>
          <w:szCs w:val="24"/>
        </w:rPr>
        <w:t>远程登录进行操作时，</w:t>
      </w:r>
      <w:r>
        <w:rPr>
          <w:rFonts w:hint="eastAsia" w:asciiTheme="minorEastAsia" w:hAnsiTheme="minorEastAsia"/>
          <w:sz w:val="24"/>
          <w:szCs w:val="24"/>
        </w:rPr>
        <w:t>审计</w:t>
      </w:r>
      <w:r>
        <w:rPr>
          <w:rFonts w:asciiTheme="minorEastAsia" w:hAnsiTheme="minorEastAsia"/>
          <w:sz w:val="24"/>
          <w:szCs w:val="24"/>
        </w:rPr>
        <w:t>人员可以实时监控</w:t>
      </w:r>
      <w:r>
        <w:rPr>
          <w:rFonts w:hint="eastAsia" w:asciiTheme="minorEastAsia" w:hAnsiTheme="minorEastAsia"/>
          <w:sz w:val="24"/>
          <w:szCs w:val="24"/>
        </w:rPr>
        <w:t>运维</w:t>
      </w:r>
      <w:r>
        <w:rPr>
          <w:rFonts w:asciiTheme="minorEastAsia" w:hAnsiTheme="minorEastAsia"/>
          <w:sz w:val="24"/>
          <w:szCs w:val="24"/>
        </w:rPr>
        <w:t>人员的操作过程，并且在</w:t>
      </w:r>
      <w:r>
        <w:rPr>
          <w:rFonts w:hint="eastAsia" w:asciiTheme="minorEastAsia" w:hAnsiTheme="minorEastAsia"/>
          <w:sz w:val="24"/>
          <w:szCs w:val="24"/>
        </w:rPr>
        <w:t>发现其进行越权操作时</w:t>
      </w:r>
      <w:r>
        <w:rPr>
          <w:rFonts w:asciiTheme="minorEastAsia" w:hAnsiTheme="minorEastAsia"/>
          <w:sz w:val="24"/>
          <w:szCs w:val="24"/>
        </w:rPr>
        <w:t>可以随时阻止和</w:t>
      </w:r>
      <w:r>
        <w:rPr>
          <w:rFonts w:hint="eastAsia" w:asciiTheme="minorEastAsia" w:hAnsiTheme="minorEastAsia"/>
          <w:sz w:val="24"/>
          <w:szCs w:val="24"/>
        </w:rPr>
        <w:t>切</w:t>
      </w:r>
      <w:r>
        <w:rPr>
          <w:rFonts w:asciiTheme="minorEastAsia" w:hAnsiTheme="minorEastAsia"/>
          <w:sz w:val="24"/>
          <w:szCs w:val="24"/>
        </w:rPr>
        <w:t>断</w:t>
      </w:r>
      <w:r>
        <w:rPr>
          <w:rFonts w:hint="eastAsia" w:asciiTheme="minorEastAsia" w:hAnsiTheme="minorEastAsia"/>
          <w:sz w:val="24"/>
          <w:szCs w:val="24"/>
        </w:rPr>
        <w:t>其</w:t>
      </w:r>
      <w:r>
        <w:rPr>
          <w:rFonts w:asciiTheme="minorEastAsia" w:hAnsiTheme="minorEastAsia"/>
          <w:sz w:val="24"/>
          <w:szCs w:val="24"/>
        </w:rPr>
        <w:t>操作。</w:t>
      </w:r>
      <w:r>
        <w:rPr>
          <w:rFonts w:hint="eastAsia" w:asciiTheme="minorEastAsia" w:hAnsiTheme="minorEastAsia"/>
          <w:sz w:val="24"/>
          <w:szCs w:val="24"/>
        </w:rPr>
        <w:t>做到操作中的实时监控和人为切断功能，做到维人员操作的可视和可控，建立完善安全体制。</w:t>
      </w:r>
    </w:p>
    <w:p>
      <w:pPr>
        <w:pStyle w:val="46"/>
        <w:numPr>
          <w:ilvl w:val="0"/>
          <w:numId w:val="16"/>
        </w:numPr>
      </w:pPr>
      <w:bookmarkStart w:id="175" w:name="_Toc140011139"/>
      <w:bookmarkStart w:id="176" w:name="_Toc162270080"/>
      <w:bookmarkStart w:id="177" w:name="_Toc140137063"/>
      <w:r>
        <w:rPr>
          <w:rFonts w:hint="eastAsia"/>
        </w:rPr>
        <w:t>OCR标题栏识别技术</w:t>
      </w:r>
      <w:bookmarkEnd w:id="159"/>
      <w:bookmarkEnd w:id="160"/>
      <w:bookmarkEnd w:id="175"/>
      <w:bookmarkEnd w:id="176"/>
      <w:bookmarkEnd w:id="177"/>
    </w:p>
    <w:p>
      <w:pPr>
        <w:widowControl/>
        <w:spacing w:after="120"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OCR标题栏识别技术是一种图像信息数字化的过程，这个过程帮助运维人员快速度、高质量地将图形运维审计录像进行数字化处理，实时存储并提取标题栏文字信息，对海量图形操作审计信息进行快速检索、精确定位播放；解决了传统的图形运维审计通过拖拉、快进等方式回放审计记录寻找始发源头的不确定性和时效性问题，让数据中心更智能。</w:t>
      </w:r>
    </w:p>
    <w:p>
      <w:pPr>
        <w:widowControl/>
        <w:spacing w:after="120"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360运维安全管理系统支持</w:t>
      </w:r>
      <w:r>
        <w:rPr>
          <w:rFonts w:asciiTheme="minorEastAsia" w:hAnsiTheme="minorEastAsia"/>
          <w:sz w:val="24"/>
          <w:szCs w:val="24"/>
        </w:rPr>
        <w:t>RDP</w:t>
      </w:r>
      <w:r>
        <w:rPr>
          <w:rFonts w:hint="eastAsia" w:asciiTheme="minorEastAsia" w:hAnsiTheme="minorEastAsia"/>
          <w:sz w:val="24"/>
          <w:szCs w:val="24"/>
        </w:rPr>
        <w:t>图形运维实时文字识别和文字提取功能，标题栏文字识别和鼠标点击操作记录。</w:t>
      </w:r>
    </w:p>
    <w:p>
      <w:pPr>
        <w:pStyle w:val="46"/>
        <w:numPr>
          <w:ilvl w:val="0"/>
          <w:numId w:val="16"/>
        </w:numPr>
      </w:pPr>
      <w:bookmarkStart w:id="178" w:name="_Toc140011141"/>
      <w:bookmarkStart w:id="179" w:name="_Toc461958792"/>
      <w:bookmarkStart w:id="180" w:name="_Toc343876387"/>
      <w:bookmarkStart w:id="181" w:name="_Toc162270081"/>
      <w:bookmarkStart w:id="182" w:name="_Toc140137065"/>
      <w:r>
        <w:rPr>
          <w:rFonts w:hint="eastAsia"/>
        </w:rPr>
        <w:t>图形智能传输功能</w:t>
      </w:r>
      <w:bookmarkEnd w:id="178"/>
      <w:bookmarkEnd w:id="179"/>
      <w:bookmarkEnd w:id="180"/>
      <w:bookmarkEnd w:id="181"/>
      <w:bookmarkEnd w:id="182"/>
    </w:p>
    <w:p>
      <w:pPr>
        <w:widowControl/>
        <w:spacing w:after="120"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360运维安全管理系统支持磁盘通道、剪贴板、声音的RDP传输控制功能；</w:t>
      </w:r>
    </w:p>
    <w:p>
      <w:pPr>
        <w:widowControl/>
        <w:spacing w:after="120"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其中对智能卡RDP传输控制的支持，很好的解决了运维上多因子认证穿透问题，即能够将本地的智能卡（USB等）驱动共享致目标服务器。避免了运维人员重复进出机房。</w:t>
      </w:r>
    </w:p>
    <w:p>
      <w:pPr>
        <w:pStyle w:val="46"/>
        <w:numPr>
          <w:ilvl w:val="0"/>
          <w:numId w:val="16"/>
        </w:numPr>
      </w:pPr>
      <w:bookmarkStart w:id="183" w:name="_Toc343876390"/>
      <w:bookmarkStart w:id="184" w:name="_Toc461958794"/>
      <w:bookmarkStart w:id="185" w:name="_Toc140011143"/>
      <w:bookmarkStart w:id="186" w:name="_Toc140137067"/>
      <w:bookmarkStart w:id="187" w:name="_Toc162270082"/>
      <w:r>
        <w:rPr>
          <w:rFonts w:hint="eastAsia"/>
        </w:rPr>
        <w:t>文件传输内容审计</w:t>
      </w:r>
      <w:bookmarkEnd w:id="183"/>
      <w:bookmarkEnd w:id="184"/>
      <w:bookmarkEnd w:id="185"/>
      <w:bookmarkEnd w:id="186"/>
      <w:bookmarkEnd w:id="187"/>
    </w:p>
    <w:p>
      <w:pPr>
        <w:widowControl/>
        <w:spacing w:after="120"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提供对FTP、SFTP传输的文件审计及备份提取功能，对传输的内容严格审计，杜绝小概率安全事件，记录审计结果。当事件发生时，可追查到恶意文件及脚本的源头。</w:t>
      </w:r>
      <w:bookmarkEnd w:id="150"/>
    </w:p>
    <w:p>
      <w:pPr>
        <w:widowControl/>
        <w:spacing w:after="120" w:line="360" w:lineRule="auto"/>
        <w:ind w:firstLine="480" w:firstLineChars="200"/>
        <w:jc w:val="left"/>
        <w:rPr>
          <w:rFonts w:asciiTheme="minorEastAsia" w:hAnsiTheme="minorEastAsia"/>
          <w:sz w:val="24"/>
          <w:szCs w:val="24"/>
        </w:rPr>
      </w:pPr>
    </w:p>
    <w:p>
      <w:pPr>
        <w:pStyle w:val="47"/>
      </w:pPr>
      <w:bookmarkStart w:id="188" w:name="_Toc162270083"/>
      <w:r>
        <w:rPr>
          <w:rFonts w:hint="eastAsia"/>
        </w:rPr>
        <w:t>建设收益</w:t>
      </w:r>
      <w:bookmarkEnd w:id="188"/>
    </w:p>
    <w:p>
      <w:pPr>
        <w:pStyle w:val="46"/>
        <w:numPr>
          <w:ilvl w:val="0"/>
          <w:numId w:val="17"/>
        </w:numPr>
      </w:pPr>
      <w:bookmarkStart w:id="189" w:name="_Toc162270084"/>
      <w:r>
        <w:rPr>
          <w:rFonts w:hint="eastAsia"/>
        </w:rPr>
        <w:t>规范运维管理</w:t>
      </w:r>
      <w:bookmarkEnd w:id="189"/>
    </w:p>
    <w:p>
      <w:pPr>
        <w:pStyle w:val="44"/>
        <w:numPr>
          <w:ilvl w:val="0"/>
          <w:numId w:val="18"/>
        </w:numPr>
        <w:spacing w:line="360" w:lineRule="auto"/>
        <w:ind w:firstLineChars="0"/>
        <w:rPr>
          <w:rFonts w:ascii="宋体" w:hAnsi="宋体"/>
          <w:szCs w:val="24"/>
        </w:rPr>
      </w:pPr>
      <w:r>
        <w:rPr>
          <w:rFonts w:hint="eastAsia" w:ascii="宋体" w:hAnsi="宋体"/>
          <w:szCs w:val="24"/>
        </w:rPr>
        <w:t>建立统一运维接入管理和资源控制平台，统一访问入口，集中权限控制，实现运维操作的集中化、规范化管理。平台可对不同系统中的接入维护进行统一管理，进行的帐号管理，身份认证和授权。可以在平台上基于用户的权限，进行统一的网络层和应用层访问控制，提高系统安全性。</w:t>
      </w:r>
    </w:p>
    <w:p>
      <w:pPr>
        <w:pStyle w:val="44"/>
        <w:numPr>
          <w:ilvl w:val="0"/>
          <w:numId w:val="18"/>
        </w:numPr>
        <w:spacing w:line="360" w:lineRule="auto"/>
        <w:ind w:firstLineChars="0"/>
        <w:rPr>
          <w:rFonts w:ascii="宋体" w:hAnsi="宋体"/>
          <w:szCs w:val="24"/>
        </w:rPr>
      </w:pPr>
      <w:r>
        <w:rPr>
          <w:rFonts w:hint="eastAsia" w:ascii="宋体" w:hAnsi="宋体"/>
          <w:szCs w:val="24"/>
        </w:rPr>
        <w:t>减轻管理员工作压力，提高工作效率，确保管理制度的顺利实施。</w:t>
      </w:r>
    </w:p>
    <w:p>
      <w:pPr>
        <w:pStyle w:val="46"/>
        <w:numPr>
          <w:ilvl w:val="0"/>
          <w:numId w:val="17"/>
        </w:numPr>
      </w:pPr>
      <w:bookmarkStart w:id="190" w:name="_Toc162270085"/>
      <w:r>
        <w:t>满足合规性要求</w:t>
      </w:r>
      <w:bookmarkEnd w:id="190"/>
    </w:p>
    <w:p>
      <w:pPr>
        <w:pStyle w:val="44"/>
        <w:numPr>
          <w:ilvl w:val="0"/>
          <w:numId w:val="18"/>
        </w:numPr>
        <w:spacing w:line="360" w:lineRule="auto"/>
        <w:ind w:firstLineChars="0"/>
        <w:rPr>
          <w:rFonts w:ascii="宋体" w:hAnsi="宋体"/>
          <w:szCs w:val="24"/>
        </w:rPr>
      </w:pPr>
      <w:r>
        <w:rPr>
          <w:rFonts w:hint="eastAsia" w:ascii="宋体" w:hAnsi="宋体"/>
          <w:szCs w:val="24"/>
        </w:rPr>
        <w:t>满足</w:t>
      </w:r>
      <w:r>
        <w:rPr>
          <w:rFonts w:ascii="宋体" w:hAnsi="宋体"/>
          <w:szCs w:val="24"/>
        </w:rPr>
        <w:t>IT</w:t>
      </w:r>
      <w:r>
        <w:rPr>
          <w:rFonts w:hint="eastAsia" w:ascii="宋体" w:hAnsi="宋体"/>
          <w:szCs w:val="24"/>
        </w:rPr>
        <w:t>内控、</w:t>
      </w:r>
      <w:r>
        <w:rPr>
          <w:rFonts w:ascii="宋体" w:hAnsi="宋体"/>
          <w:szCs w:val="24"/>
        </w:rPr>
        <w:t>SOX</w:t>
      </w:r>
      <w:r>
        <w:rPr>
          <w:rFonts w:hint="eastAsia" w:ascii="宋体" w:hAnsi="宋体"/>
          <w:szCs w:val="24"/>
        </w:rPr>
        <w:t>、</w:t>
      </w:r>
      <w:r>
        <w:rPr>
          <w:rFonts w:ascii="宋体" w:hAnsi="宋体"/>
          <w:szCs w:val="24"/>
        </w:rPr>
        <w:t>COBIT</w:t>
      </w:r>
      <w:r>
        <w:rPr>
          <w:rFonts w:hint="eastAsia" w:ascii="宋体" w:hAnsi="宋体"/>
          <w:szCs w:val="24"/>
        </w:rPr>
        <w:t>等法案法规合规性审计要求。</w:t>
      </w:r>
    </w:p>
    <w:p>
      <w:pPr>
        <w:pStyle w:val="44"/>
        <w:numPr>
          <w:ilvl w:val="0"/>
          <w:numId w:val="18"/>
        </w:numPr>
        <w:spacing w:line="360" w:lineRule="auto"/>
        <w:ind w:firstLineChars="0"/>
        <w:rPr>
          <w:rFonts w:ascii="宋体" w:hAnsi="宋体"/>
          <w:szCs w:val="24"/>
        </w:rPr>
      </w:pPr>
      <w:r>
        <w:rPr>
          <w:rFonts w:hint="eastAsia" w:ascii="宋体" w:hAnsi="宋体"/>
          <w:szCs w:val="24"/>
        </w:rPr>
        <w:t>为监管部门提供运维管理的审计报表和原始准确的运维操作日志。</w:t>
      </w:r>
    </w:p>
    <w:p>
      <w:pPr>
        <w:pStyle w:val="44"/>
        <w:numPr>
          <w:ilvl w:val="0"/>
          <w:numId w:val="18"/>
        </w:numPr>
        <w:spacing w:line="360" w:lineRule="auto"/>
        <w:ind w:firstLineChars="0"/>
        <w:rPr>
          <w:rFonts w:ascii="宋体" w:hAnsi="宋体"/>
          <w:szCs w:val="24"/>
        </w:rPr>
      </w:pPr>
      <w:r>
        <w:rPr>
          <w:rFonts w:ascii="宋体" w:hAnsi="宋体"/>
          <w:szCs w:val="24"/>
        </w:rPr>
        <w:t>有助于完善组织的IT内控与审计体系，使组织能够顺利通过IT审计。</w:t>
      </w:r>
    </w:p>
    <w:p>
      <w:pPr>
        <w:pStyle w:val="46"/>
        <w:numPr>
          <w:ilvl w:val="0"/>
          <w:numId w:val="17"/>
        </w:numPr>
      </w:pPr>
      <w:bookmarkStart w:id="191" w:name="_Toc162270086"/>
      <w:r>
        <w:rPr>
          <w:rFonts w:hint="eastAsia"/>
        </w:rPr>
        <w:t>降低资源风险，快速故障定位和责任追踪</w:t>
      </w:r>
      <w:bookmarkEnd w:id="191"/>
    </w:p>
    <w:p>
      <w:pPr>
        <w:pStyle w:val="44"/>
        <w:numPr>
          <w:ilvl w:val="0"/>
          <w:numId w:val="18"/>
        </w:numPr>
        <w:spacing w:line="360" w:lineRule="auto"/>
        <w:ind w:firstLineChars="0"/>
        <w:rPr>
          <w:rFonts w:ascii="宋体" w:hAnsi="宋体"/>
          <w:szCs w:val="24"/>
        </w:rPr>
      </w:pPr>
      <w:r>
        <w:rPr>
          <w:rFonts w:hint="eastAsia" w:ascii="宋体" w:hAnsi="宋体"/>
          <w:szCs w:val="24"/>
        </w:rPr>
        <w:t>采用360运维安全管理系统的技术，避免了非法终端、不安全终端直接连接核心资源，降低木马、间谍、内部安全威胁等对核心资源造成的影响。</w:t>
      </w:r>
    </w:p>
    <w:p>
      <w:pPr>
        <w:pStyle w:val="44"/>
        <w:numPr>
          <w:ilvl w:val="0"/>
          <w:numId w:val="18"/>
        </w:numPr>
        <w:spacing w:line="360" w:lineRule="auto"/>
        <w:ind w:firstLineChars="0"/>
        <w:rPr>
          <w:rFonts w:ascii="宋体" w:hAnsi="宋体"/>
          <w:szCs w:val="24"/>
        </w:rPr>
      </w:pPr>
      <w:r>
        <w:rPr>
          <w:rFonts w:hint="eastAsia" w:ascii="宋体" w:hAnsi="宋体"/>
          <w:szCs w:val="24"/>
        </w:rPr>
        <w:t>对第三方代维、系统集成商现场施工的规范化管理，防范外来风险。</w:t>
      </w:r>
    </w:p>
    <w:p>
      <w:pPr>
        <w:pStyle w:val="44"/>
        <w:widowControl/>
        <w:numPr>
          <w:ilvl w:val="0"/>
          <w:numId w:val="18"/>
        </w:numPr>
        <w:spacing w:after="120" w:line="360" w:lineRule="auto"/>
        <w:ind w:firstLineChars="0"/>
        <w:jc w:val="left"/>
        <w:rPr>
          <w:rFonts w:asciiTheme="minorEastAsia" w:hAnsiTheme="minorEastAsia"/>
          <w:sz w:val="24"/>
          <w:szCs w:val="24"/>
        </w:rPr>
      </w:pPr>
      <w:r>
        <w:rPr>
          <w:rFonts w:hint="eastAsia" w:ascii="宋体" w:hAnsi="宋体"/>
          <w:szCs w:val="24"/>
        </w:rPr>
        <w:t>发生安全事故，通过回放操作记录可快速、准确的进行责任鉴定和安全事件追踪。</w:t>
      </w:r>
    </w:p>
    <w:sectPr>
      <w:footerReference r:id="rId8" w:type="first"/>
      <w:footerReference r:id="rId7"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1273405"/>
      <w:docPartObj>
        <w:docPartGallery w:val="AutoText"/>
      </w:docPartObj>
    </w:sdtPr>
    <w:sdtContent>
      <w:sdt>
        <w:sdtPr>
          <w:id w:val="-1769616900"/>
          <w:docPartObj>
            <w:docPartGallery w:val="AutoText"/>
          </w:docPartObj>
        </w:sdtPr>
        <w:sdtContent>
          <w:p>
            <w:pPr>
              <w:pStyle w:val="22"/>
              <w:jc w:val="right"/>
            </w:pPr>
            <w:r>
              <w:rPr>
                <w:lang w:val="zh-CN"/>
              </w:rPr>
              <w:t xml:space="preserve"> </w:t>
            </w:r>
          </w:p>
        </w:sdtContent>
      </w:sdt>
    </w:sdtContent>
  </w:sdt>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2213662"/>
      <w:docPartObj>
        <w:docPartGallery w:val="AutoText"/>
      </w:docPartObj>
    </w:sdtPr>
    <w:sdtContent>
      <w:sdt>
        <w:sdtPr>
          <w:id w:val="-1705238520"/>
          <w:docPartObj>
            <w:docPartGallery w:val="AutoText"/>
          </w:docPartObj>
        </w:sdtPr>
        <w:sdtContent>
          <w:p>
            <w:pPr>
              <w:pStyle w:val="22"/>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17</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43</w:t>
            </w:r>
            <w:r>
              <w:rPr>
                <w:b/>
                <w:bCs/>
                <w:sz w:val="24"/>
                <w:szCs w:val="24"/>
              </w:rPr>
              <w:fldChar w:fldCharType="end"/>
            </w:r>
          </w:p>
        </w:sdtContent>
      </w:sdt>
    </w:sdtContent>
  </w:sdt>
  <w:p>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6452212"/>
      <w:docPartObj>
        <w:docPartGallery w:val="AutoText"/>
      </w:docPartObj>
    </w:sdtPr>
    <w:sdtContent>
      <w:sdt>
        <w:sdtPr>
          <w:id w:val="-565949054"/>
          <w:docPartObj>
            <w:docPartGallery w:val="AutoText"/>
          </w:docPartObj>
        </w:sdtPr>
        <w:sdtContent>
          <w:p>
            <w:pPr>
              <w:pStyle w:val="22"/>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43</w:t>
            </w:r>
            <w:r>
              <w:rPr>
                <w:b/>
                <w:bCs/>
                <w:sz w:val="24"/>
                <w:szCs w:val="24"/>
              </w:rPr>
              <w:fldChar w:fldCharType="end"/>
            </w:r>
          </w:p>
        </w:sdtContent>
      </w:sdt>
    </w:sdtContent>
  </w:sdt>
  <w:p>
    <w:pPr>
      <w:pStyle w:val="2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jc w:val="right"/>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2"/>
    <w:multiLevelType w:val="singleLevel"/>
    <w:tmpl w:val="00000012"/>
    <w:lvl w:ilvl="0" w:tentative="0">
      <w:start w:val="1"/>
      <w:numFmt w:val="decimal"/>
      <w:pStyle w:val="138"/>
      <w:lvlText w:val="%1."/>
      <w:lvlJc w:val="left"/>
      <w:pPr>
        <w:tabs>
          <w:tab w:val="left" w:pos="964"/>
        </w:tabs>
        <w:ind w:left="964" w:hanging="482"/>
      </w:pPr>
      <w:rPr>
        <w:rFonts w:hint="default" w:ascii="Arial" w:hAnsi="Arial" w:cs="Arial"/>
        <w:b w:val="0"/>
        <w:bCs w:val="0"/>
        <w:i w:val="0"/>
        <w:iCs w:val="0"/>
        <w:sz w:val="24"/>
        <w:szCs w:val="24"/>
      </w:rPr>
    </w:lvl>
  </w:abstractNum>
  <w:abstractNum w:abstractNumId="1">
    <w:nsid w:val="06C4503E"/>
    <w:multiLevelType w:val="multilevel"/>
    <w:tmpl w:val="06C4503E"/>
    <w:lvl w:ilvl="0" w:tentative="0">
      <w:start w:val="1"/>
      <w:numFmt w:val="decimal"/>
      <w:lvlText w:val="3.15.%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072556DA"/>
    <w:multiLevelType w:val="multilevel"/>
    <w:tmpl w:val="072556DA"/>
    <w:lvl w:ilvl="0" w:tentative="0">
      <w:start w:val="1"/>
      <w:numFmt w:val="bullet"/>
      <w:pStyle w:val="118"/>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20F167FB"/>
    <w:multiLevelType w:val="multilevel"/>
    <w:tmpl w:val="20F167FB"/>
    <w:lvl w:ilvl="0" w:tentative="0">
      <w:start w:val="1"/>
      <w:numFmt w:val="decimal"/>
      <w:pStyle w:val="47"/>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4">
    <w:nsid w:val="21561F6F"/>
    <w:multiLevelType w:val="multilevel"/>
    <w:tmpl w:val="21561F6F"/>
    <w:lvl w:ilvl="0" w:tentative="0">
      <w:start w:val="1"/>
      <w:numFmt w:val="decimal"/>
      <w:lvlText w:val="3.%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344859A1"/>
    <w:multiLevelType w:val="multilevel"/>
    <w:tmpl w:val="344859A1"/>
    <w:lvl w:ilvl="0" w:tentative="0">
      <w:start w:val="1"/>
      <w:numFmt w:val="bullet"/>
      <w:pStyle w:val="74"/>
      <w:lvlText w:val=""/>
      <w:lvlJc w:val="left"/>
      <w:pPr>
        <w:ind w:left="980" w:hanging="480"/>
      </w:pPr>
      <w:rPr>
        <w:rFonts w:hint="default" w:ascii="Symbol" w:hAnsi="Symbol"/>
        <w:color w:val="auto"/>
      </w:rPr>
    </w:lvl>
    <w:lvl w:ilvl="1" w:tentative="0">
      <w:start w:val="1"/>
      <w:numFmt w:val="bullet"/>
      <w:lvlText w:val=""/>
      <w:lvlJc w:val="left"/>
      <w:pPr>
        <w:ind w:left="1460" w:hanging="480"/>
      </w:pPr>
      <w:rPr>
        <w:rFonts w:hint="default" w:ascii="Wingdings" w:hAnsi="Wingdings"/>
      </w:rPr>
    </w:lvl>
    <w:lvl w:ilvl="2" w:tentative="0">
      <w:start w:val="1"/>
      <w:numFmt w:val="bullet"/>
      <w:lvlText w:val=""/>
      <w:lvlJc w:val="left"/>
      <w:pPr>
        <w:ind w:left="1940" w:hanging="480"/>
      </w:pPr>
      <w:rPr>
        <w:rFonts w:hint="default" w:ascii="Wingdings" w:hAnsi="Wingdings"/>
      </w:rPr>
    </w:lvl>
    <w:lvl w:ilvl="3" w:tentative="0">
      <w:start w:val="1"/>
      <w:numFmt w:val="bullet"/>
      <w:lvlText w:val=""/>
      <w:lvlJc w:val="left"/>
      <w:pPr>
        <w:ind w:left="2420" w:hanging="480"/>
      </w:pPr>
      <w:rPr>
        <w:rFonts w:hint="default" w:ascii="Wingdings" w:hAnsi="Wingdings"/>
      </w:rPr>
    </w:lvl>
    <w:lvl w:ilvl="4" w:tentative="0">
      <w:start w:val="1"/>
      <w:numFmt w:val="bullet"/>
      <w:lvlText w:val=""/>
      <w:lvlJc w:val="left"/>
      <w:pPr>
        <w:ind w:left="2900" w:hanging="480"/>
      </w:pPr>
      <w:rPr>
        <w:rFonts w:hint="default" w:ascii="Wingdings" w:hAnsi="Wingdings"/>
      </w:rPr>
    </w:lvl>
    <w:lvl w:ilvl="5" w:tentative="0">
      <w:start w:val="1"/>
      <w:numFmt w:val="bullet"/>
      <w:lvlText w:val=""/>
      <w:lvlJc w:val="left"/>
      <w:pPr>
        <w:ind w:left="3380" w:hanging="480"/>
      </w:pPr>
      <w:rPr>
        <w:rFonts w:hint="default" w:ascii="Wingdings" w:hAnsi="Wingdings"/>
      </w:rPr>
    </w:lvl>
    <w:lvl w:ilvl="6" w:tentative="0">
      <w:start w:val="1"/>
      <w:numFmt w:val="bullet"/>
      <w:lvlText w:val=""/>
      <w:lvlJc w:val="left"/>
      <w:pPr>
        <w:ind w:left="3860" w:hanging="480"/>
      </w:pPr>
      <w:rPr>
        <w:rFonts w:hint="default" w:ascii="Wingdings" w:hAnsi="Wingdings"/>
      </w:rPr>
    </w:lvl>
    <w:lvl w:ilvl="7" w:tentative="0">
      <w:start w:val="1"/>
      <w:numFmt w:val="bullet"/>
      <w:lvlText w:val=""/>
      <w:lvlJc w:val="left"/>
      <w:pPr>
        <w:ind w:left="4340" w:hanging="480"/>
      </w:pPr>
      <w:rPr>
        <w:rFonts w:hint="default" w:ascii="Wingdings" w:hAnsi="Wingdings"/>
      </w:rPr>
    </w:lvl>
    <w:lvl w:ilvl="8" w:tentative="0">
      <w:start w:val="1"/>
      <w:numFmt w:val="bullet"/>
      <w:lvlText w:val=""/>
      <w:lvlJc w:val="left"/>
      <w:pPr>
        <w:ind w:left="4820" w:hanging="480"/>
      </w:pPr>
      <w:rPr>
        <w:rFonts w:hint="default" w:ascii="Wingdings" w:hAnsi="Wingdings"/>
      </w:rPr>
    </w:lvl>
  </w:abstractNum>
  <w:abstractNum w:abstractNumId="6">
    <w:nsid w:val="41A463B2"/>
    <w:multiLevelType w:val="multilevel"/>
    <w:tmpl w:val="41A463B2"/>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7">
    <w:nsid w:val="46A907C5"/>
    <w:multiLevelType w:val="multilevel"/>
    <w:tmpl w:val="46A907C5"/>
    <w:lvl w:ilvl="0" w:tentative="0">
      <w:start w:val="1"/>
      <w:numFmt w:val="decimal"/>
      <w:lvlText w:val="2.%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47990C3A"/>
    <w:multiLevelType w:val="multilevel"/>
    <w:tmpl w:val="47990C3A"/>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9">
    <w:nsid w:val="4E3210B8"/>
    <w:multiLevelType w:val="multilevel"/>
    <w:tmpl w:val="4E3210B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0">
    <w:nsid w:val="50E11B0B"/>
    <w:multiLevelType w:val="multilevel"/>
    <w:tmpl w:val="50E11B0B"/>
    <w:lvl w:ilvl="0" w:tentative="0">
      <w:start w:val="1"/>
      <w:numFmt w:val="decimal"/>
      <w:pStyle w:val="43"/>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59601209"/>
    <w:multiLevelType w:val="multilevel"/>
    <w:tmpl w:val="59601209"/>
    <w:lvl w:ilvl="0" w:tentative="0">
      <w:start w:val="1"/>
      <w:numFmt w:val="bullet"/>
      <w:lvlText w:val=""/>
      <w:lvlJc w:val="left"/>
      <w:pPr>
        <w:ind w:left="2121" w:hanging="420"/>
      </w:pPr>
      <w:rPr>
        <w:rFonts w:hint="default" w:ascii="Wingdings" w:hAnsi="Wingdings"/>
      </w:rPr>
    </w:lvl>
    <w:lvl w:ilvl="1" w:tentative="0">
      <w:start w:val="1"/>
      <w:numFmt w:val="bullet"/>
      <w:lvlText w:val=""/>
      <w:lvlJc w:val="left"/>
      <w:pPr>
        <w:ind w:left="2541" w:hanging="420"/>
      </w:pPr>
      <w:rPr>
        <w:rFonts w:hint="default" w:ascii="Wingdings" w:hAnsi="Wingdings"/>
      </w:rPr>
    </w:lvl>
    <w:lvl w:ilvl="2" w:tentative="0">
      <w:start w:val="1"/>
      <w:numFmt w:val="bullet"/>
      <w:lvlText w:val=""/>
      <w:lvlJc w:val="left"/>
      <w:pPr>
        <w:ind w:left="2961" w:hanging="420"/>
      </w:pPr>
      <w:rPr>
        <w:rFonts w:hint="default" w:ascii="Wingdings" w:hAnsi="Wingdings"/>
      </w:rPr>
    </w:lvl>
    <w:lvl w:ilvl="3" w:tentative="0">
      <w:start w:val="1"/>
      <w:numFmt w:val="bullet"/>
      <w:lvlText w:val=""/>
      <w:lvlJc w:val="left"/>
      <w:pPr>
        <w:ind w:left="3381" w:hanging="420"/>
      </w:pPr>
      <w:rPr>
        <w:rFonts w:hint="default" w:ascii="Wingdings" w:hAnsi="Wingdings"/>
      </w:rPr>
    </w:lvl>
    <w:lvl w:ilvl="4" w:tentative="0">
      <w:start w:val="1"/>
      <w:numFmt w:val="bullet"/>
      <w:lvlText w:val=""/>
      <w:lvlJc w:val="left"/>
      <w:pPr>
        <w:ind w:left="3801" w:hanging="420"/>
      </w:pPr>
      <w:rPr>
        <w:rFonts w:hint="default" w:ascii="Wingdings" w:hAnsi="Wingdings"/>
      </w:rPr>
    </w:lvl>
    <w:lvl w:ilvl="5" w:tentative="0">
      <w:start w:val="1"/>
      <w:numFmt w:val="bullet"/>
      <w:lvlText w:val=""/>
      <w:lvlJc w:val="left"/>
      <w:pPr>
        <w:ind w:left="4221" w:hanging="420"/>
      </w:pPr>
      <w:rPr>
        <w:rFonts w:hint="default" w:ascii="Wingdings" w:hAnsi="Wingdings"/>
      </w:rPr>
    </w:lvl>
    <w:lvl w:ilvl="6" w:tentative="0">
      <w:start w:val="1"/>
      <w:numFmt w:val="bullet"/>
      <w:lvlText w:val=""/>
      <w:lvlJc w:val="left"/>
      <w:pPr>
        <w:ind w:left="4641" w:hanging="420"/>
      </w:pPr>
      <w:rPr>
        <w:rFonts w:hint="default" w:ascii="Wingdings" w:hAnsi="Wingdings"/>
      </w:rPr>
    </w:lvl>
    <w:lvl w:ilvl="7" w:tentative="0">
      <w:start w:val="1"/>
      <w:numFmt w:val="bullet"/>
      <w:lvlText w:val=""/>
      <w:lvlJc w:val="left"/>
      <w:pPr>
        <w:ind w:left="5061" w:hanging="420"/>
      </w:pPr>
      <w:rPr>
        <w:rFonts w:hint="default" w:ascii="Wingdings" w:hAnsi="Wingdings"/>
      </w:rPr>
    </w:lvl>
    <w:lvl w:ilvl="8" w:tentative="0">
      <w:start w:val="1"/>
      <w:numFmt w:val="bullet"/>
      <w:lvlText w:val=""/>
      <w:lvlJc w:val="left"/>
      <w:pPr>
        <w:ind w:left="5481" w:hanging="420"/>
      </w:pPr>
      <w:rPr>
        <w:rFonts w:hint="default" w:ascii="Wingdings" w:hAnsi="Wingdings"/>
      </w:rPr>
    </w:lvl>
  </w:abstractNum>
  <w:abstractNum w:abstractNumId="12">
    <w:nsid w:val="67212A3B"/>
    <w:multiLevelType w:val="multilevel"/>
    <w:tmpl w:val="67212A3B"/>
    <w:lvl w:ilvl="0" w:tentative="0">
      <w:start w:val="1"/>
      <w:numFmt w:val="decimal"/>
      <w:lvlText w:val="5.%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6C653849"/>
    <w:multiLevelType w:val="multilevel"/>
    <w:tmpl w:val="6C653849"/>
    <w:lvl w:ilvl="0" w:tentative="0">
      <w:start w:val="1"/>
      <w:numFmt w:val="decimal"/>
      <w:lvlText w:val="1.%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
    <w:nsid w:val="6D5D5EFF"/>
    <w:multiLevelType w:val="multilevel"/>
    <w:tmpl w:val="6D5D5EFF"/>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5">
    <w:nsid w:val="71B20B34"/>
    <w:multiLevelType w:val="multilevel"/>
    <w:tmpl w:val="71B20B34"/>
    <w:lvl w:ilvl="0" w:tentative="0">
      <w:start w:val="1"/>
      <w:numFmt w:val="decimal"/>
      <w:pStyle w:val="13"/>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6">
    <w:nsid w:val="792C4E4E"/>
    <w:multiLevelType w:val="multilevel"/>
    <w:tmpl w:val="792C4E4E"/>
    <w:lvl w:ilvl="0" w:tentative="0">
      <w:start w:val="1"/>
      <w:numFmt w:val="decimal"/>
      <w:lvlText w:val="4.%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7C912AE6"/>
    <w:multiLevelType w:val="multilevel"/>
    <w:tmpl w:val="7C912AE6"/>
    <w:lvl w:ilvl="0" w:tentative="0">
      <w:start w:val="1"/>
      <w:numFmt w:val="decimal"/>
      <w:pStyle w:val="120"/>
      <w:lvlText w:val="3.%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5"/>
  </w:num>
  <w:num w:numId="2">
    <w:abstractNumId w:val="10"/>
  </w:num>
  <w:num w:numId="3">
    <w:abstractNumId w:val="3"/>
  </w:num>
  <w:num w:numId="4">
    <w:abstractNumId w:val="5"/>
  </w:num>
  <w:num w:numId="5">
    <w:abstractNumId w:val="2"/>
  </w:num>
  <w:num w:numId="6">
    <w:abstractNumId w:val="17"/>
  </w:num>
  <w:num w:numId="7">
    <w:abstractNumId w:val="0"/>
  </w:num>
  <w:num w:numId="8">
    <w:abstractNumId w:val="13"/>
  </w:num>
  <w:num w:numId="9">
    <w:abstractNumId w:val="6"/>
  </w:num>
  <w:num w:numId="10">
    <w:abstractNumId w:val="9"/>
  </w:num>
  <w:num w:numId="11">
    <w:abstractNumId w:val="7"/>
  </w:num>
  <w:num w:numId="12">
    <w:abstractNumId w:val="8"/>
  </w:num>
  <w:num w:numId="13">
    <w:abstractNumId w:val="4"/>
  </w:num>
  <w:num w:numId="14">
    <w:abstractNumId w:val="11"/>
  </w:num>
  <w:num w:numId="15">
    <w:abstractNumId w:val="1"/>
  </w:num>
  <w:num w:numId="16">
    <w:abstractNumId w:val="16"/>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5ODM0MjlhM2Q5OTllMDFlNWJlMjhkMDA4MjlmOWIifQ=="/>
  </w:docVars>
  <w:rsids>
    <w:rsidRoot w:val="00D47079"/>
    <w:rsid w:val="000113AE"/>
    <w:rsid w:val="00015E35"/>
    <w:rsid w:val="00024855"/>
    <w:rsid w:val="0003101F"/>
    <w:rsid w:val="000361BA"/>
    <w:rsid w:val="00044FE2"/>
    <w:rsid w:val="00045A18"/>
    <w:rsid w:val="0005216A"/>
    <w:rsid w:val="00052A7D"/>
    <w:rsid w:val="00060017"/>
    <w:rsid w:val="00065FD6"/>
    <w:rsid w:val="00070AC1"/>
    <w:rsid w:val="00074131"/>
    <w:rsid w:val="00075043"/>
    <w:rsid w:val="00081863"/>
    <w:rsid w:val="00081F1C"/>
    <w:rsid w:val="000977DF"/>
    <w:rsid w:val="000A419C"/>
    <w:rsid w:val="000A4268"/>
    <w:rsid w:val="000B3EEB"/>
    <w:rsid w:val="000B52E8"/>
    <w:rsid w:val="000C00EA"/>
    <w:rsid w:val="000C1335"/>
    <w:rsid w:val="000C1F45"/>
    <w:rsid w:val="000C262F"/>
    <w:rsid w:val="000C4A37"/>
    <w:rsid w:val="000D2E75"/>
    <w:rsid w:val="000D5960"/>
    <w:rsid w:val="000D5E13"/>
    <w:rsid w:val="000D7E91"/>
    <w:rsid w:val="000E04EF"/>
    <w:rsid w:val="000E1B3E"/>
    <w:rsid w:val="000E1EBA"/>
    <w:rsid w:val="000E45AF"/>
    <w:rsid w:val="000F19C9"/>
    <w:rsid w:val="000F4A19"/>
    <w:rsid w:val="000F4E20"/>
    <w:rsid w:val="00100791"/>
    <w:rsid w:val="00101EEB"/>
    <w:rsid w:val="00104E87"/>
    <w:rsid w:val="00106F21"/>
    <w:rsid w:val="001072FB"/>
    <w:rsid w:val="001105D4"/>
    <w:rsid w:val="00115965"/>
    <w:rsid w:val="00120373"/>
    <w:rsid w:val="00123153"/>
    <w:rsid w:val="001268B6"/>
    <w:rsid w:val="00131917"/>
    <w:rsid w:val="00132945"/>
    <w:rsid w:val="00133413"/>
    <w:rsid w:val="0014005A"/>
    <w:rsid w:val="0014124E"/>
    <w:rsid w:val="0015184D"/>
    <w:rsid w:val="001520B9"/>
    <w:rsid w:val="001531FB"/>
    <w:rsid w:val="001627E2"/>
    <w:rsid w:val="00162AE9"/>
    <w:rsid w:val="001716D2"/>
    <w:rsid w:val="001721BE"/>
    <w:rsid w:val="001722AA"/>
    <w:rsid w:val="00181E34"/>
    <w:rsid w:val="00187463"/>
    <w:rsid w:val="001924B0"/>
    <w:rsid w:val="001925AD"/>
    <w:rsid w:val="00193DC5"/>
    <w:rsid w:val="001A055E"/>
    <w:rsid w:val="001A3849"/>
    <w:rsid w:val="001A7852"/>
    <w:rsid w:val="001B0C53"/>
    <w:rsid w:val="001C176A"/>
    <w:rsid w:val="001C1D30"/>
    <w:rsid w:val="001D2342"/>
    <w:rsid w:val="001D378E"/>
    <w:rsid w:val="001E0394"/>
    <w:rsid w:val="001F7DB3"/>
    <w:rsid w:val="002002DB"/>
    <w:rsid w:val="00202EC7"/>
    <w:rsid w:val="00212684"/>
    <w:rsid w:val="0022128D"/>
    <w:rsid w:val="00227F4B"/>
    <w:rsid w:val="00233CB4"/>
    <w:rsid w:val="00244A59"/>
    <w:rsid w:val="00246D49"/>
    <w:rsid w:val="00261BD4"/>
    <w:rsid w:val="00265CE0"/>
    <w:rsid w:val="00271355"/>
    <w:rsid w:val="00271872"/>
    <w:rsid w:val="00272695"/>
    <w:rsid w:val="00274034"/>
    <w:rsid w:val="002747EB"/>
    <w:rsid w:val="002766F1"/>
    <w:rsid w:val="0027672C"/>
    <w:rsid w:val="00284547"/>
    <w:rsid w:val="0029456D"/>
    <w:rsid w:val="002A0920"/>
    <w:rsid w:val="002A36CA"/>
    <w:rsid w:val="002A6910"/>
    <w:rsid w:val="002A6CDC"/>
    <w:rsid w:val="002A7DA8"/>
    <w:rsid w:val="002B1539"/>
    <w:rsid w:val="002B1729"/>
    <w:rsid w:val="002B4D3A"/>
    <w:rsid w:val="002D0F96"/>
    <w:rsid w:val="002F1CD8"/>
    <w:rsid w:val="002F24C1"/>
    <w:rsid w:val="002F32CC"/>
    <w:rsid w:val="00303F04"/>
    <w:rsid w:val="003128AD"/>
    <w:rsid w:val="0032054D"/>
    <w:rsid w:val="00331193"/>
    <w:rsid w:val="00335255"/>
    <w:rsid w:val="0034026A"/>
    <w:rsid w:val="00340307"/>
    <w:rsid w:val="003609B1"/>
    <w:rsid w:val="00371CF7"/>
    <w:rsid w:val="00382D45"/>
    <w:rsid w:val="0039004B"/>
    <w:rsid w:val="003A3D38"/>
    <w:rsid w:val="003C3CE1"/>
    <w:rsid w:val="003D274E"/>
    <w:rsid w:val="003E5080"/>
    <w:rsid w:val="003E6557"/>
    <w:rsid w:val="003F21CF"/>
    <w:rsid w:val="003F2FDA"/>
    <w:rsid w:val="003F6EF9"/>
    <w:rsid w:val="003F7CB2"/>
    <w:rsid w:val="00400BED"/>
    <w:rsid w:val="00401F33"/>
    <w:rsid w:val="004025DD"/>
    <w:rsid w:val="00404546"/>
    <w:rsid w:val="004216FB"/>
    <w:rsid w:val="00426762"/>
    <w:rsid w:val="004337AD"/>
    <w:rsid w:val="0044249B"/>
    <w:rsid w:val="0045065C"/>
    <w:rsid w:val="00452565"/>
    <w:rsid w:val="00454CAB"/>
    <w:rsid w:val="00463EA6"/>
    <w:rsid w:val="004828C6"/>
    <w:rsid w:val="004830DA"/>
    <w:rsid w:val="00484668"/>
    <w:rsid w:val="004942B0"/>
    <w:rsid w:val="00496443"/>
    <w:rsid w:val="004B0B58"/>
    <w:rsid w:val="004C5723"/>
    <w:rsid w:val="004C7187"/>
    <w:rsid w:val="004D625A"/>
    <w:rsid w:val="004E2B30"/>
    <w:rsid w:val="004E76AB"/>
    <w:rsid w:val="004F067A"/>
    <w:rsid w:val="00502307"/>
    <w:rsid w:val="005047A9"/>
    <w:rsid w:val="00512A26"/>
    <w:rsid w:val="00522D25"/>
    <w:rsid w:val="00530DAC"/>
    <w:rsid w:val="00531F9A"/>
    <w:rsid w:val="00547836"/>
    <w:rsid w:val="005506D5"/>
    <w:rsid w:val="00551801"/>
    <w:rsid w:val="00563850"/>
    <w:rsid w:val="005674C7"/>
    <w:rsid w:val="00580900"/>
    <w:rsid w:val="00593CE0"/>
    <w:rsid w:val="0059642D"/>
    <w:rsid w:val="00597F54"/>
    <w:rsid w:val="005A1724"/>
    <w:rsid w:val="005A491C"/>
    <w:rsid w:val="005B10D8"/>
    <w:rsid w:val="005B31DD"/>
    <w:rsid w:val="005B50D0"/>
    <w:rsid w:val="005C4B9C"/>
    <w:rsid w:val="005C67CC"/>
    <w:rsid w:val="005D077B"/>
    <w:rsid w:val="005D3A6B"/>
    <w:rsid w:val="005E3A42"/>
    <w:rsid w:val="00606172"/>
    <w:rsid w:val="00621553"/>
    <w:rsid w:val="0063796A"/>
    <w:rsid w:val="0064200F"/>
    <w:rsid w:val="006421AA"/>
    <w:rsid w:val="00651F77"/>
    <w:rsid w:val="00666187"/>
    <w:rsid w:val="00671D58"/>
    <w:rsid w:val="006759E9"/>
    <w:rsid w:val="00675EA3"/>
    <w:rsid w:val="00682460"/>
    <w:rsid w:val="00684260"/>
    <w:rsid w:val="00692D67"/>
    <w:rsid w:val="006957C6"/>
    <w:rsid w:val="006B2068"/>
    <w:rsid w:val="006B4F72"/>
    <w:rsid w:val="006C0BE8"/>
    <w:rsid w:val="006C5C82"/>
    <w:rsid w:val="006C6ADC"/>
    <w:rsid w:val="006D3C62"/>
    <w:rsid w:val="006D4B85"/>
    <w:rsid w:val="006F3E57"/>
    <w:rsid w:val="006F4A7A"/>
    <w:rsid w:val="006F7604"/>
    <w:rsid w:val="00700A8E"/>
    <w:rsid w:val="007058BB"/>
    <w:rsid w:val="0070693B"/>
    <w:rsid w:val="00710837"/>
    <w:rsid w:val="00710B25"/>
    <w:rsid w:val="00716145"/>
    <w:rsid w:val="0072410D"/>
    <w:rsid w:val="0073081B"/>
    <w:rsid w:val="00732E54"/>
    <w:rsid w:val="00741027"/>
    <w:rsid w:val="007466AA"/>
    <w:rsid w:val="00752A91"/>
    <w:rsid w:val="00753CB1"/>
    <w:rsid w:val="0075529E"/>
    <w:rsid w:val="007619C6"/>
    <w:rsid w:val="00764C26"/>
    <w:rsid w:val="00776B49"/>
    <w:rsid w:val="00782740"/>
    <w:rsid w:val="00783F6F"/>
    <w:rsid w:val="00790B35"/>
    <w:rsid w:val="00792B09"/>
    <w:rsid w:val="007A294C"/>
    <w:rsid w:val="007A3E6F"/>
    <w:rsid w:val="007C31DD"/>
    <w:rsid w:val="007D4178"/>
    <w:rsid w:val="007E6990"/>
    <w:rsid w:val="007E6F39"/>
    <w:rsid w:val="007F58B0"/>
    <w:rsid w:val="007F611D"/>
    <w:rsid w:val="007F682C"/>
    <w:rsid w:val="007F78B5"/>
    <w:rsid w:val="008003D8"/>
    <w:rsid w:val="00802F4F"/>
    <w:rsid w:val="00823142"/>
    <w:rsid w:val="00825E5D"/>
    <w:rsid w:val="00830618"/>
    <w:rsid w:val="0083333D"/>
    <w:rsid w:val="00840170"/>
    <w:rsid w:val="00841B91"/>
    <w:rsid w:val="0085054E"/>
    <w:rsid w:val="008559D7"/>
    <w:rsid w:val="0085652F"/>
    <w:rsid w:val="00866FDB"/>
    <w:rsid w:val="00870C08"/>
    <w:rsid w:val="00880F45"/>
    <w:rsid w:val="00881F5E"/>
    <w:rsid w:val="00894C15"/>
    <w:rsid w:val="00895D03"/>
    <w:rsid w:val="00897560"/>
    <w:rsid w:val="008A6D8E"/>
    <w:rsid w:val="008B1BEB"/>
    <w:rsid w:val="008D2E39"/>
    <w:rsid w:val="008D41FA"/>
    <w:rsid w:val="008D4F6C"/>
    <w:rsid w:val="008D75E2"/>
    <w:rsid w:val="008E4B5D"/>
    <w:rsid w:val="008E519C"/>
    <w:rsid w:val="008F202A"/>
    <w:rsid w:val="008F2C06"/>
    <w:rsid w:val="008F7C74"/>
    <w:rsid w:val="00904524"/>
    <w:rsid w:val="009063FD"/>
    <w:rsid w:val="009064B3"/>
    <w:rsid w:val="009115EF"/>
    <w:rsid w:val="009121D2"/>
    <w:rsid w:val="00917657"/>
    <w:rsid w:val="0092418D"/>
    <w:rsid w:val="00926553"/>
    <w:rsid w:val="00933503"/>
    <w:rsid w:val="00933CFD"/>
    <w:rsid w:val="009372BF"/>
    <w:rsid w:val="009375E8"/>
    <w:rsid w:val="00940857"/>
    <w:rsid w:val="00943ACE"/>
    <w:rsid w:val="0094479E"/>
    <w:rsid w:val="00944E43"/>
    <w:rsid w:val="009540D2"/>
    <w:rsid w:val="0095453B"/>
    <w:rsid w:val="009548ED"/>
    <w:rsid w:val="00966E70"/>
    <w:rsid w:val="00971C43"/>
    <w:rsid w:val="00977626"/>
    <w:rsid w:val="009873C3"/>
    <w:rsid w:val="00990D4A"/>
    <w:rsid w:val="009A05AB"/>
    <w:rsid w:val="009A5374"/>
    <w:rsid w:val="009A5E36"/>
    <w:rsid w:val="009A6E6B"/>
    <w:rsid w:val="009B21D8"/>
    <w:rsid w:val="009B65D0"/>
    <w:rsid w:val="009B6B10"/>
    <w:rsid w:val="009C15BE"/>
    <w:rsid w:val="009D0B7B"/>
    <w:rsid w:val="009D0CEC"/>
    <w:rsid w:val="009D397D"/>
    <w:rsid w:val="009F54BE"/>
    <w:rsid w:val="00A036F8"/>
    <w:rsid w:val="00A128E0"/>
    <w:rsid w:val="00A23251"/>
    <w:rsid w:val="00A32FD5"/>
    <w:rsid w:val="00A4253C"/>
    <w:rsid w:val="00A42566"/>
    <w:rsid w:val="00A46D70"/>
    <w:rsid w:val="00A515B3"/>
    <w:rsid w:val="00A54EA4"/>
    <w:rsid w:val="00A6509E"/>
    <w:rsid w:val="00A67DBF"/>
    <w:rsid w:val="00A75FB2"/>
    <w:rsid w:val="00A9586C"/>
    <w:rsid w:val="00A95E57"/>
    <w:rsid w:val="00AA2C4A"/>
    <w:rsid w:val="00AD332A"/>
    <w:rsid w:val="00AD5657"/>
    <w:rsid w:val="00AE0F41"/>
    <w:rsid w:val="00AE7E46"/>
    <w:rsid w:val="00AF008B"/>
    <w:rsid w:val="00AF16DE"/>
    <w:rsid w:val="00AF310B"/>
    <w:rsid w:val="00AF67D3"/>
    <w:rsid w:val="00AF695B"/>
    <w:rsid w:val="00B012E6"/>
    <w:rsid w:val="00B04884"/>
    <w:rsid w:val="00B16FF3"/>
    <w:rsid w:val="00B2063E"/>
    <w:rsid w:val="00B30240"/>
    <w:rsid w:val="00B30B09"/>
    <w:rsid w:val="00B41019"/>
    <w:rsid w:val="00B43AF7"/>
    <w:rsid w:val="00B609BB"/>
    <w:rsid w:val="00B717D9"/>
    <w:rsid w:val="00B75E2B"/>
    <w:rsid w:val="00B80685"/>
    <w:rsid w:val="00B84D54"/>
    <w:rsid w:val="00B86DC9"/>
    <w:rsid w:val="00BA0BCC"/>
    <w:rsid w:val="00BA171B"/>
    <w:rsid w:val="00BB38B0"/>
    <w:rsid w:val="00BB6012"/>
    <w:rsid w:val="00BC1421"/>
    <w:rsid w:val="00BC1B24"/>
    <w:rsid w:val="00BD0C3B"/>
    <w:rsid w:val="00BD7052"/>
    <w:rsid w:val="00BE571F"/>
    <w:rsid w:val="00BF42BA"/>
    <w:rsid w:val="00C01C4A"/>
    <w:rsid w:val="00C03767"/>
    <w:rsid w:val="00C126E2"/>
    <w:rsid w:val="00C136C8"/>
    <w:rsid w:val="00C16151"/>
    <w:rsid w:val="00C2242A"/>
    <w:rsid w:val="00C2441A"/>
    <w:rsid w:val="00C2692A"/>
    <w:rsid w:val="00C31169"/>
    <w:rsid w:val="00C41F25"/>
    <w:rsid w:val="00C43230"/>
    <w:rsid w:val="00C50882"/>
    <w:rsid w:val="00C55F48"/>
    <w:rsid w:val="00C56F9E"/>
    <w:rsid w:val="00C62A3E"/>
    <w:rsid w:val="00C7341D"/>
    <w:rsid w:val="00C7600E"/>
    <w:rsid w:val="00C771A6"/>
    <w:rsid w:val="00C95F0A"/>
    <w:rsid w:val="00CC26D7"/>
    <w:rsid w:val="00CC3408"/>
    <w:rsid w:val="00CD6C0E"/>
    <w:rsid w:val="00CE30B2"/>
    <w:rsid w:val="00CE5E49"/>
    <w:rsid w:val="00D011D8"/>
    <w:rsid w:val="00D151C6"/>
    <w:rsid w:val="00D200E8"/>
    <w:rsid w:val="00D31B6D"/>
    <w:rsid w:val="00D37D97"/>
    <w:rsid w:val="00D40B8A"/>
    <w:rsid w:val="00D4129D"/>
    <w:rsid w:val="00D47079"/>
    <w:rsid w:val="00D50CC3"/>
    <w:rsid w:val="00D605FD"/>
    <w:rsid w:val="00D66E8E"/>
    <w:rsid w:val="00D67D63"/>
    <w:rsid w:val="00D732F8"/>
    <w:rsid w:val="00D95BA1"/>
    <w:rsid w:val="00D973D9"/>
    <w:rsid w:val="00DB622D"/>
    <w:rsid w:val="00DC5881"/>
    <w:rsid w:val="00DD28AF"/>
    <w:rsid w:val="00DD6082"/>
    <w:rsid w:val="00DE007C"/>
    <w:rsid w:val="00DE2848"/>
    <w:rsid w:val="00DE464C"/>
    <w:rsid w:val="00DE5346"/>
    <w:rsid w:val="00DE6456"/>
    <w:rsid w:val="00DE695A"/>
    <w:rsid w:val="00DF08F3"/>
    <w:rsid w:val="00E021CD"/>
    <w:rsid w:val="00E04673"/>
    <w:rsid w:val="00E05760"/>
    <w:rsid w:val="00E07192"/>
    <w:rsid w:val="00E203DB"/>
    <w:rsid w:val="00E237B7"/>
    <w:rsid w:val="00E26702"/>
    <w:rsid w:val="00E43EE5"/>
    <w:rsid w:val="00E460F6"/>
    <w:rsid w:val="00E51C16"/>
    <w:rsid w:val="00E568A7"/>
    <w:rsid w:val="00E60517"/>
    <w:rsid w:val="00E60DCB"/>
    <w:rsid w:val="00E6239E"/>
    <w:rsid w:val="00E72FFB"/>
    <w:rsid w:val="00E7495A"/>
    <w:rsid w:val="00E8175C"/>
    <w:rsid w:val="00E81D29"/>
    <w:rsid w:val="00E973A7"/>
    <w:rsid w:val="00E97BCB"/>
    <w:rsid w:val="00EA2A23"/>
    <w:rsid w:val="00EB0C5B"/>
    <w:rsid w:val="00EC355A"/>
    <w:rsid w:val="00EC6364"/>
    <w:rsid w:val="00ED1141"/>
    <w:rsid w:val="00ED3B22"/>
    <w:rsid w:val="00ED5A16"/>
    <w:rsid w:val="00EE215D"/>
    <w:rsid w:val="00EF76AB"/>
    <w:rsid w:val="00F0004D"/>
    <w:rsid w:val="00F443F8"/>
    <w:rsid w:val="00F53D27"/>
    <w:rsid w:val="00F56216"/>
    <w:rsid w:val="00F66732"/>
    <w:rsid w:val="00F6684F"/>
    <w:rsid w:val="00F67F4E"/>
    <w:rsid w:val="00F763B7"/>
    <w:rsid w:val="00F834D0"/>
    <w:rsid w:val="00F85982"/>
    <w:rsid w:val="00F8714E"/>
    <w:rsid w:val="00F927E1"/>
    <w:rsid w:val="00F94D45"/>
    <w:rsid w:val="00FA12B9"/>
    <w:rsid w:val="00FA2A08"/>
    <w:rsid w:val="00FC30B5"/>
    <w:rsid w:val="00FC60B6"/>
    <w:rsid w:val="00FD2A8B"/>
    <w:rsid w:val="00FD4BC7"/>
    <w:rsid w:val="00FD6ED7"/>
    <w:rsid w:val="00FE1D1A"/>
    <w:rsid w:val="00FE4B8D"/>
    <w:rsid w:val="00FE4EE9"/>
    <w:rsid w:val="00FF2ABC"/>
    <w:rsid w:val="00FF577E"/>
    <w:rsid w:val="00FF5F4B"/>
    <w:rsid w:val="1A1441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uiPriority="39" w:semiHidden="0" w:name="toc 6"/>
    <w:lsdException w:qFormat="1" w:uiPriority="39" w:semiHidden="0" w:name="toc 7"/>
    <w:lsdException w:qFormat="1" w:uiPriority="39" w:semiHidden="0" w:name="toc 8"/>
    <w:lsdException w:uiPriority="39" w:semiHidden="0"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qFormat="1"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71"/>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8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88"/>
    <w:unhideWhenUsed/>
    <w:qFormat/>
    <w:uiPriority w:val="0"/>
    <w:pPr>
      <w:keepNext/>
      <w:keepLines/>
      <w:spacing w:before="280" w:after="290" w:line="376" w:lineRule="auto"/>
      <w:outlineLvl w:val="4"/>
    </w:pPr>
    <w:rPr>
      <w:b/>
      <w:bCs/>
      <w:sz w:val="28"/>
      <w:szCs w:val="28"/>
    </w:rPr>
  </w:style>
  <w:style w:type="paragraph" w:styleId="7">
    <w:name w:val="heading 6"/>
    <w:next w:val="1"/>
    <w:link w:val="89"/>
    <w:autoRedefine/>
    <w:unhideWhenUsed/>
    <w:qFormat/>
    <w:uiPriority w:val="0"/>
    <w:pPr>
      <w:keepNext/>
      <w:keepLines/>
      <w:spacing w:before="163" w:beforeLines="50" w:after="163" w:afterLines="50" w:line="360" w:lineRule="auto"/>
      <w:outlineLvl w:val="5"/>
    </w:pPr>
    <w:rPr>
      <w:rFonts w:ascii="Arial" w:hAnsi="Arial" w:eastAsia="黑体" w:cstheme="majorBidi"/>
      <w:b/>
      <w:bCs/>
      <w:kern w:val="2"/>
      <w:sz w:val="24"/>
      <w:szCs w:val="24"/>
      <w:lang w:val="en-US" w:eastAsia="zh-CN" w:bidi="ar-SA"/>
    </w:rPr>
  </w:style>
  <w:style w:type="paragraph" w:styleId="8">
    <w:name w:val="heading 7"/>
    <w:next w:val="1"/>
    <w:link w:val="90"/>
    <w:autoRedefine/>
    <w:unhideWhenUsed/>
    <w:qFormat/>
    <w:uiPriority w:val="0"/>
    <w:pPr>
      <w:keepNext/>
      <w:keepLines/>
      <w:adjustRightInd w:val="0"/>
      <w:spacing w:before="32" w:beforeLines="10" w:after="32" w:afterLines="10" w:line="360" w:lineRule="auto"/>
      <w:outlineLvl w:val="6"/>
    </w:pPr>
    <w:rPr>
      <w:rFonts w:ascii="Arial" w:hAnsi="Arial" w:eastAsia="黑体" w:cstheme="minorBidi"/>
      <w:b/>
      <w:bCs/>
      <w:kern w:val="2"/>
      <w:sz w:val="24"/>
      <w:szCs w:val="24"/>
      <w:lang w:val="en-US" w:eastAsia="zh-CN" w:bidi="ar-SA"/>
    </w:rPr>
  </w:style>
  <w:style w:type="paragraph" w:styleId="9">
    <w:name w:val="heading 8"/>
    <w:basedOn w:val="1"/>
    <w:next w:val="1"/>
    <w:link w:val="91"/>
    <w:autoRedefine/>
    <w:unhideWhenUsed/>
    <w:qFormat/>
    <w:uiPriority w:val="0"/>
    <w:pPr>
      <w:keepNext/>
      <w:keepLines/>
      <w:spacing w:before="31" w:after="31" w:line="360" w:lineRule="auto"/>
      <w:jc w:val="left"/>
      <w:outlineLvl w:val="7"/>
    </w:pPr>
    <w:rPr>
      <w:rFonts w:ascii="宋体" w:hAnsi="宋体" w:eastAsia="黑体" w:cstheme="majorBidi"/>
      <w:b/>
      <w:sz w:val="24"/>
      <w:szCs w:val="24"/>
    </w:rPr>
  </w:style>
  <w:style w:type="paragraph" w:styleId="10">
    <w:name w:val="heading 9"/>
    <w:basedOn w:val="1"/>
    <w:next w:val="1"/>
    <w:link w:val="106"/>
    <w:qFormat/>
    <w:uiPriority w:val="0"/>
    <w:pPr>
      <w:keepNext/>
      <w:keepLines/>
      <w:tabs>
        <w:tab w:val="left" w:pos="1584"/>
      </w:tabs>
      <w:spacing w:before="240" w:after="64" w:line="320" w:lineRule="auto"/>
      <w:ind w:left="1584" w:hanging="1584"/>
      <w:outlineLvl w:val="8"/>
    </w:pPr>
    <w:rPr>
      <w:rFonts w:ascii="Arial" w:hAnsi="Arial" w:eastAsia="黑体" w:cs="Times New Roman"/>
      <w:kern w:val="0"/>
      <w:sz w:val="20"/>
      <w:szCs w:val="21"/>
    </w:rPr>
  </w:style>
  <w:style w:type="character" w:default="1" w:styleId="38">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hAnsi="Times New Roman" w:cs="Times New Roman" w:eastAsiaTheme="minorHAnsi"/>
      <w:sz w:val="18"/>
      <w:szCs w:val="18"/>
    </w:rPr>
  </w:style>
  <w:style w:type="paragraph" w:styleId="12">
    <w:name w:val="Normal Indent"/>
    <w:basedOn w:val="1"/>
    <w:link w:val="116"/>
    <w:qFormat/>
    <w:uiPriority w:val="0"/>
    <w:pPr>
      <w:spacing w:line="360" w:lineRule="auto"/>
      <w:ind w:firstLine="171" w:firstLineChars="171"/>
    </w:pPr>
    <w:rPr>
      <w:rFonts w:ascii="Times New Roman" w:hAnsi="Times New Roman" w:eastAsia="宋体" w:cs="Times New Roman"/>
      <w:sz w:val="24"/>
      <w:szCs w:val="24"/>
    </w:rPr>
  </w:style>
  <w:style w:type="paragraph" w:styleId="13">
    <w:name w:val="caption"/>
    <w:basedOn w:val="1"/>
    <w:next w:val="1"/>
    <w:qFormat/>
    <w:uiPriority w:val="0"/>
    <w:pPr>
      <w:numPr>
        <w:ilvl w:val="0"/>
        <w:numId w:val="1"/>
      </w:numPr>
      <w:spacing w:before="152" w:after="160"/>
    </w:pPr>
    <w:rPr>
      <w:rFonts w:ascii="Arial" w:hAnsi="Arial" w:eastAsia="黑体" w:cs="Arial"/>
      <w:sz w:val="20"/>
      <w:szCs w:val="20"/>
    </w:rPr>
  </w:style>
  <w:style w:type="paragraph" w:styleId="14">
    <w:name w:val="Document Map"/>
    <w:basedOn w:val="1"/>
    <w:link w:val="107"/>
    <w:unhideWhenUsed/>
    <w:qFormat/>
    <w:uiPriority w:val="99"/>
    <w:rPr>
      <w:rFonts w:ascii="宋体" w:hAnsi="Times New Roman" w:eastAsia="宋体" w:cs="Times New Roman"/>
      <w:sz w:val="24"/>
      <w:szCs w:val="24"/>
    </w:rPr>
  </w:style>
  <w:style w:type="paragraph" w:styleId="15">
    <w:name w:val="annotation text"/>
    <w:basedOn w:val="1"/>
    <w:link w:val="81"/>
    <w:autoRedefine/>
    <w:semiHidden/>
    <w:unhideWhenUsed/>
    <w:qFormat/>
    <w:uiPriority w:val="99"/>
    <w:pPr>
      <w:jc w:val="left"/>
    </w:pPr>
  </w:style>
  <w:style w:type="paragraph" w:styleId="16">
    <w:name w:val="Body Text"/>
    <w:basedOn w:val="1"/>
    <w:link w:val="108"/>
    <w:semiHidden/>
    <w:unhideWhenUsed/>
    <w:qFormat/>
    <w:uiPriority w:val="99"/>
    <w:pPr>
      <w:spacing w:after="120"/>
    </w:pPr>
  </w:style>
  <w:style w:type="paragraph" w:styleId="17">
    <w:name w:val="toc 5"/>
    <w:basedOn w:val="1"/>
    <w:next w:val="1"/>
    <w:autoRedefine/>
    <w:unhideWhenUsed/>
    <w:qFormat/>
    <w:uiPriority w:val="39"/>
    <w:pPr>
      <w:ind w:left="1680" w:leftChars="800"/>
    </w:pPr>
  </w:style>
  <w:style w:type="paragraph" w:styleId="18">
    <w:name w:val="toc 3"/>
    <w:basedOn w:val="1"/>
    <w:next w:val="1"/>
    <w:autoRedefine/>
    <w:unhideWhenUsed/>
    <w:qFormat/>
    <w:uiPriority w:val="39"/>
    <w:pPr>
      <w:ind w:left="840" w:leftChars="400"/>
    </w:pPr>
  </w:style>
  <w:style w:type="paragraph" w:styleId="19">
    <w:name w:val="Plain Text"/>
    <w:link w:val="109"/>
    <w:qFormat/>
    <w:uiPriority w:val="0"/>
    <w:pPr>
      <w:adjustRightInd w:val="0"/>
      <w:textAlignment w:val="baseline"/>
    </w:pPr>
    <w:rPr>
      <w:rFonts w:ascii="宋体" w:hAnsi="Courier New" w:eastAsia="宋体" w:cs="Times New Roman"/>
      <w:kern w:val="2"/>
      <w:sz w:val="21"/>
      <w:szCs w:val="21"/>
      <w:lang w:val="en-US" w:eastAsia="zh-CN" w:bidi="ar-SA"/>
    </w:rPr>
  </w:style>
  <w:style w:type="paragraph" w:styleId="20">
    <w:name w:val="toc 8"/>
    <w:basedOn w:val="1"/>
    <w:next w:val="1"/>
    <w:autoRedefine/>
    <w:unhideWhenUsed/>
    <w:qFormat/>
    <w:uiPriority w:val="39"/>
    <w:pPr>
      <w:ind w:left="2940" w:leftChars="1400"/>
    </w:pPr>
  </w:style>
  <w:style w:type="paragraph" w:styleId="21">
    <w:name w:val="Balloon Text"/>
    <w:basedOn w:val="1"/>
    <w:link w:val="83"/>
    <w:semiHidden/>
    <w:unhideWhenUsed/>
    <w:qFormat/>
    <w:uiPriority w:val="99"/>
    <w:rPr>
      <w:sz w:val="18"/>
      <w:szCs w:val="18"/>
    </w:rPr>
  </w:style>
  <w:style w:type="paragraph" w:styleId="22">
    <w:name w:val="footer"/>
    <w:basedOn w:val="1"/>
    <w:link w:val="68"/>
    <w:unhideWhenUsed/>
    <w:qFormat/>
    <w:uiPriority w:val="99"/>
    <w:pPr>
      <w:tabs>
        <w:tab w:val="center" w:pos="4153"/>
        <w:tab w:val="right" w:pos="8306"/>
      </w:tabs>
      <w:snapToGrid w:val="0"/>
      <w:jc w:val="left"/>
    </w:pPr>
    <w:rPr>
      <w:sz w:val="18"/>
      <w:szCs w:val="18"/>
    </w:rPr>
  </w:style>
  <w:style w:type="paragraph" w:styleId="23">
    <w:name w:val="header"/>
    <w:basedOn w:val="1"/>
    <w:link w:val="67"/>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autoRedefine/>
    <w:unhideWhenUsed/>
    <w:qFormat/>
    <w:uiPriority w:val="39"/>
    <w:pPr>
      <w:tabs>
        <w:tab w:val="left" w:pos="420"/>
        <w:tab w:val="right" w:leader="dot" w:pos="8296"/>
      </w:tabs>
      <w:jc w:val="center"/>
    </w:pPr>
    <w:rPr>
      <w:b/>
      <w:sz w:val="28"/>
    </w:rPr>
  </w:style>
  <w:style w:type="paragraph" w:styleId="25">
    <w:name w:val="toc 4"/>
    <w:basedOn w:val="1"/>
    <w:next w:val="1"/>
    <w:autoRedefine/>
    <w:unhideWhenUsed/>
    <w:qFormat/>
    <w:uiPriority w:val="39"/>
    <w:pPr>
      <w:tabs>
        <w:tab w:val="left" w:pos="2097"/>
        <w:tab w:val="right" w:leader="dot" w:pos="8296"/>
      </w:tabs>
      <w:ind w:left="1260" w:leftChars="600"/>
      <w:jc w:val="center"/>
    </w:pPr>
  </w:style>
  <w:style w:type="paragraph" w:styleId="26">
    <w:name w:val="toc 6"/>
    <w:basedOn w:val="1"/>
    <w:next w:val="1"/>
    <w:autoRedefine/>
    <w:unhideWhenUsed/>
    <w:uiPriority w:val="39"/>
    <w:pPr>
      <w:ind w:left="2100" w:leftChars="1000"/>
    </w:pPr>
  </w:style>
  <w:style w:type="paragraph" w:styleId="27">
    <w:name w:val="toc 2"/>
    <w:basedOn w:val="1"/>
    <w:next w:val="1"/>
    <w:autoRedefine/>
    <w:unhideWhenUsed/>
    <w:qFormat/>
    <w:uiPriority w:val="39"/>
    <w:pPr>
      <w:ind w:left="420" w:leftChars="200"/>
    </w:pPr>
  </w:style>
  <w:style w:type="paragraph" w:styleId="28">
    <w:name w:val="toc 9"/>
    <w:basedOn w:val="1"/>
    <w:next w:val="1"/>
    <w:unhideWhenUsed/>
    <w:uiPriority w:val="39"/>
    <w:pPr>
      <w:ind w:left="1680"/>
      <w:jc w:val="left"/>
    </w:pPr>
    <w:rPr>
      <w:rFonts w:hAnsi="Times New Roman" w:cs="Times New Roman" w:eastAsiaTheme="minorHAnsi"/>
      <w:sz w:val="18"/>
      <w:szCs w:val="18"/>
    </w:rPr>
  </w:style>
  <w:style w:type="paragraph" w:styleId="29">
    <w:name w:val="Body Text 2"/>
    <w:basedOn w:val="1"/>
    <w:link w:val="110"/>
    <w:qFormat/>
    <w:uiPriority w:val="0"/>
    <w:pPr>
      <w:widowControl/>
      <w:spacing w:line="360" w:lineRule="auto"/>
      <w:jc w:val="left"/>
    </w:pPr>
    <w:rPr>
      <w:rFonts w:ascii="楷体_GB2312" w:hAnsi="Garamond" w:eastAsia="楷体_GB2312" w:cs="Times New Roman"/>
      <w:color w:val="FF0000"/>
      <w:kern w:val="0"/>
      <w:sz w:val="24"/>
      <w:szCs w:val="24"/>
    </w:rPr>
  </w:style>
  <w:style w:type="paragraph" w:styleId="30">
    <w:name w:val="HTML Preformatted"/>
    <w:basedOn w:val="1"/>
    <w:link w:val="147"/>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31">
    <w:name w:val="Normal (Web)"/>
    <w:basedOn w:val="1"/>
    <w:link w:val="134"/>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32">
    <w:name w:val="Title"/>
    <w:basedOn w:val="1"/>
    <w:next w:val="1"/>
    <w:link w:val="111"/>
    <w:qFormat/>
    <w:uiPriority w:val="10"/>
    <w:pPr>
      <w:spacing w:before="240" w:after="60"/>
      <w:jc w:val="center"/>
      <w:outlineLvl w:val="0"/>
    </w:pPr>
    <w:rPr>
      <w:rFonts w:eastAsia="宋体" w:asciiTheme="majorHAnsi" w:hAnsiTheme="majorHAnsi" w:cstheme="majorBidi"/>
      <w:b/>
      <w:bCs/>
      <w:sz w:val="32"/>
      <w:szCs w:val="32"/>
    </w:rPr>
  </w:style>
  <w:style w:type="paragraph" w:styleId="33">
    <w:name w:val="annotation subject"/>
    <w:basedOn w:val="15"/>
    <w:next w:val="15"/>
    <w:link w:val="82"/>
    <w:semiHidden/>
    <w:unhideWhenUsed/>
    <w:qFormat/>
    <w:uiPriority w:val="99"/>
    <w:rPr>
      <w:b/>
      <w:bCs/>
    </w:rPr>
  </w:style>
  <w:style w:type="paragraph" w:styleId="34">
    <w:name w:val="Body Text First Indent"/>
    <w:basedOn w:val="16"/>
    <w:link w:val="112"/>
    <w:unhideWhenUsed/>
    <w:qFormat/>
    <w:uiPriority w:val="0"/>
    <w:pPr>
      <w:ind w:firstLine="420" w:firstLineChars="100"/>
    </w:pPr>
  </w:style>
  <w:style w:type="table" w:styleId="36">
    <w:name w:val="Table Grid"/>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7">
    <w:name w:val="Table Professional"/>
    <w:basedOn w:val="35"/>
    <w:autoRedefine/>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39">
    <w:name w:val="Strong"/>
    <w:qFormat/>
    <w:uiPriority w:val="22"/>
    <w:rPr>
      <w:b/>
      <w:bCs/>
    </w:rPr>
  </w:style>
  <w:style w:type="character" w:styleId="40">
    <w:name w:val="page number"/>
    <w:basedOn w:val="38"/>
    <w:semiHidden/>
    <w:unhideWhenUsed/>
    <w:qFormat/>
    <w:uiPriority w:val="99"/>
  </w:style>
  <w:style w:type="character" w:styleId="41">
    <w:name w:val="Hyperlink"/>
    <w:basedOn w:val="38"/>
    <w:unhideWhenUsed/>
    <w:uiPriority w:val="99"/>
    <w:rPr>
      <w:color w:val="0563C1" w:themeColor="hyperlink"/>
      <w:u w:val="single"/>
      <w14:textFill>
        <w14:solidFill>
          <w14:schemeClr w14:val="hlink"/>
        </w14:solidFill>
      </w14:textFill>
    </w:rPr>
  </w:style>
  <w:style w:type="character" w:styleId="42">
    <w:name w:val="annotation reference"/>
    <w:basedOn w:val="38"/>
    <w:autoRedefine/>
    <w:unhideWhenUsed/>
    <w:qFormat/>
    <w:uiPriority w:val="99"/>
    <w:rPr>
      <w:sz w:val="21"/>
      <w:szCs w:val="21"/>
    </w:rPr>
  </w:style>
  <w:style w:type="paragraph" w:customStyle="1" w:styleId="43">
    <w:name w:val="我的投标样式"/>
    <w:basedOn w:val="44"/>
    <w:link w:val="45"/>
    <w:autoRedefine/>
    <w:qFormat/>
    <w:uiPriority w:val="0"/>
    <w:pPr>
      <w:numPr>
        <w:ilvl w:val="0"/>
        <w:numId w:val="2"/>
      </w:numPr>
      <w:ind w:firstLine="0" w:firstLineChars="0"/>
      <w:outlineLvl w:val="0"/>
    </w:pPr>
    <w:rPr>
      <w:rFonts w:asciiTheme="majorEastAsia" w:hAnsiTheme="majorEastAsia" w:eastAsiaTheme="majorEastAsia"/>
      <w:b/>
      <w:sz w:val="36"/>
      <w:szCs w:val="28"/>
    </w:rPr>
  </w:style>
  <w:style w:type="paragraph" w:styleId="44">
    <w:name w:val="List Paragraph"/>
    <w:basedOn w:val="1"/>
    <w:link w:val="72"/>
    <w:autoRedefine/>
    <w:qFormat/>
    <w:uiPriority w:val="34"/>
    <w:pPr>
      <w:ind w:firstLine="420" w:firstLineChars="200"/>
    </w:pPr>
  </w:style>
  <w:style w:type="character" w:customStyle="1" w:styleId="45">
    <w:name w:val="我的投标样式 字符"/>
    <w:basedOn w:val="38"/>
    <w:link w:val="43"/>
    <w:uiPriority w:val="0"/>
    <w:rPr>
      <w:rFonts w:asciiTheme="majorEastAsia" w:hAnsiTheme="majorEastAsia" w:eastAsiaTheme="majorEastAsia"/>
      <w:b/>
      <w:sz w:val="36"/>
      <w:szCs w:val="28"/>
    </w:rPr>
  </w:style>
  <w:style w:type="paragraph" w:customStyle="1" w:styleId="46">
    <w:name w:val="CJ2级"/>
    <w:basedOn w:val="47"/>
    <w:next w:val="1"/>
    <w:link w:val="49"/>
    <w:autoRedefine/>
    <w:qFormat/>
    <w:uiPriority w:val="0"/>
    <w:pPr>
      <w:numPr>
        <w:numId w:val="0"/>
      </w:numPr>
      <w:spacing w:line="240" w:lineRule="auto"/>
      <w:outlineLvl w:val="1"/>
    </w:pPr>
    <w:rPr>
      <w:sz w:val="30"/>
    </w:rPr>
  </w:style>
  <w:style w:type="paragraph" w:customStyle="1" w:styleId="47">
    <w:name w:val="CJ1级"/>
    <w:basedOn w:val="2"/>
    <w:next w:val="48"/>
    <w:link w:val="50"/>
    <w:autoRedefine/>
    <w:qFormat/>
    <w:uiPriority w:val="0"/>
    <w:pPr>
      <w:numPr>
        <w:ilvl w:val="0"/>
        <w:numId w:val="3"/>
      </w:numPr>
      <w:spacing w:before="0" w:after="120" w:line="360" w:lineRule="auto"/>
    </w:pPr>
    <w:rPr>
      <w:rFonts w:eastAsiaTheme="majorEastAsia"/>
      <w:sz w:val="32"/>
    </w:rPr>
  </w:style>
  <w:style w:type="paragraph" w:customStyle="1" w:styleId="48">
    <w:name w:val="CJ的正文"/>
    <w:basedOn w:val="1"/>
    <w:link w:val="64"/>
    <w:autoRedefine/>
    <w:qFormat/>
    <w:uiPriority w:val="0"/>
    <w:pPr>
      <w:spacing w:before="156" w:beforeLines="50" w:line="360" w:lineRule="auto"/>
      <w:ind w:left="200" w:firstLine="480" w:firstLineChars="200"/>
      <w:jc w:val="left"/>
    </w:pPr>
    <w:rPr>
      <w:rFonts w:eastAsia="宋体"/>
      <w:sz w:val="24"/>
    </w:rPr>
  </w:style>
  <w:style w:type="character" w:customStyle="1" w:styleId="49">
    <w:name w:val="CJ2级 字符"/>
    <w:basedOn w:val="50"/>
    <w:link w:val="46"/>
    <w:uiPriority w:val="0"/>
    <w:rPr>
      <w:rFonts w:eastAsiaTheme="majorEastAsia"/>
      <w:kern w:val="44"/>
      <w:sz w:val="30"/>
      <w:szCs w:val="44"/>
    </w:rPr>
  </w:style>
  <w:style w:type="character" w:customStyle="1" w:styleId="50">
    <w:name w:val="CJ1级 字符"/>
    <w:basedOn w:val="38"/>
    <w:link w:val="47"/>
    <w:autoRedefine/>
    <w:qFormat/>
    <w:uiPriority w:val="0"/>
    <w:rPr>
      <w:rFonts w:eastAsiaTheme="majorEastAsia"/>
      <w:b/>
      <w:bCs/>
      <w:kern w:val="44"/>
      <w:sz w:val="32"/>
      <w:szCs w:val="44"/>
    </w:rPr>
  </w:style>
  <w:style w:type="character" w:customStyle="1" w:styleId="51">
    <w:name w:val="标题 1 字符"/>
    <w:basedOn w:val="38"/>
    <w:link w:val="2"/>
    <w:qFormat/>
    <w:uiPriority w:val="9"/>
    <w:rPr>
      <w:b/>
      <w:bCs/>
      <w:kern w:val="44"/>
      <w:sz w:val="44"/>
      <w:szCs w:val="44"/>
    </w:rPr>
  </w:style>
  <w:style w:type="paragraph" w:customStyle="1" w:styleId="52">
    <w:name w:val="CJ3级"/>
    <w:basedOn w:val="46"/>
    <w:next w:val="1"/>
    <w:link w:val="53"/>
    <w:qFormat/>
    <w:uiPriority w:val="0"/>
    <w:pPr>
      <w:spacing w:after="100"/>
      <w:outlineLvl w:val="2"/>
    </w:pPr>
    <w:rPr>
      <w:rFonts w:asciiTheme="majorHAnsi" w:hAnsiTheme="majorHAnsi"/>
      <w:bCs w:val="0"/>
    </w:rPr>
  </w:style>
  <w:style w:type="character" w:customStyle="1" w:styleId="53">
    <w:name w:val="CJ3级 字符"/>
    <w:basedOn w:val="49"/>
    <w:link w:val="52"/>
    <w:uiPriority w:val="0"/>
    <w:rPr>
      <w:rFonts w:asciiTheme="majorHAnsi" w:hAnsiTheme="majorHAnsi" w:eastAsiaTheme="majorEastAsia"/>
      <w:bCs w:val="0"/>
      <w:kern w:val="44"/>
      <w:sz w:val="30"/>
      <w:szCs w:val="44"/>
    </w:rPr>
  </w:style>
  <w:style w:type="paragraph" w:customStyle="1" w:styleId="54">
    <w:name w:val="CJ4级"/>
    <w:basedOn w:val="52"/>
    <w:next w:val="48"/>
    <w:link w:val="55"/>
    <w:autoRedefine/>
    <w:qFormat/>
    <w:uiPriority w:val="0"/>
    <w:pPr>
      <w:outlineLvl w:val="3"/>
    </w:pPr>
    <w:rPr>
      <w:sz w:val="28"/>
    </w:rPr>
  </w:style>
  <w:style w:type="character" w:customStyle="1" w:styleId="55">
    <w:name w:val="CJ4级 字符"/>
    <w:basedOn w:val="53"/>
    <w:link w:val="54"/>
    <w:uiPriority w:val="0"/>
    <w:rPr>
      <w:rFonts w:asciiTheme="majorHAnsi" w:hAnsiTheme="majorHAnsi" w:eastAsiaTheme="majorEastAsia"/>
      <w:kern w:val="44"/>
      <w:sz w:val="28"/>
      <w:szCs w:val="44"/>
    </w:rPr>
  </w:style>
  <w:style w:type="paragraph" w:customStyle="1" w:styleId="56">
    <w:name w:val="CJ5级"/>
    <w:basedOn w:val="54"/>
    <w:next w:val="48"/>
    <w:link w:val="57"/>
    <w:autoRedefine/>
    <w:qFormat/>
    <w:uiPriority w:val="0"/>
    <w:pPr>
      <w:outlineLvl w:val="4"/>
    </w:pPr>
    <w:rPr>
      <w:sz w:val="24"/>
    </w:rPr>
  </w:style>
  <w:style w:type="character" w:customStyle="1" w:styleId="57">
    <w:name w:val="CJ5级 字符"/>
    <w:basedOn w:val="55"/>
    <w:link w:val="56"/>
    <w:uiPriority w:val="0"/>
    <w:rPr>
      <w:rFonts w:asciiTheme="majorHAnsi" w:hAnsiTheme="majorHAnsi" w:eastAsiaTheme="majorEastAsia"/>
      <w:kern w:val="44"/>
      <w:sz w:val="24"/>
      <w:szCs w:val="44"/>
    </w:rPr>
  </w:style>
  <w:style w:type="paragraph" w:customStyle="1" w:styleId="58">
    <w:name w:val="CJ6级"/>
    <w:basedOn w:val="56"/>
    <w:next w:val="48"/>
    <w:link w:val="59"/>
    <w:autoRedefine/>
    <w:qFormat/>
    <w:uiPriority w:val="0"/>
    <w:pPr>
      <w:numPr>
        <w:ilvl w:val="5"/>
      </w:numPr>
      <w:outlineLvl w:val="5"/>
    </w:pPr>
  </w:style>
  <w:style w:type="character" w:customStyle="1" w:styleId="59">
    <w:name w:val="CJ6级 字符"/>
    <w:basedOn w:val="57"/>
    <w:link w:val="58"/>
    <w:autoRedefine/>
    <w:qFormat/>
    <w:uiPriority w:val="0"/>
    <w:rPr>
      <w:rFonts w:asciiTheme="majorHAnsi" w:hAnsiTheme="majorHAnsi" w:eastAsiaTheme="majorEastAsia"/>
      <w:kern w:val="44"/>
      <w:sz w:val="24"/>
      <w:szCs w:val="44"/>
    </w:rPr>
  </w:style>
  <w:style w:type="paragraph" w:customStyle="1" w:styleId="60">
    <w:name w:val="CJ7级"/>
    <w:basedOn w:val="58"/>
    <w:next w:val="48"/>
    <w:link w:val="61"/>
    <w:autoRedefine/>
    <w:qFormat/>
    <w:uiPriority w:val="0"/>
    <w:pPr>
      <w:numPr>
        <w:ilvl w:val="6"/>
      </w:numPr>
      <w:outlineLvl w:val="6"/>
    </w:pPr>
  </w:style>
  <w:style w:type="character" w:customStyle="1" w:styleId="61">
    <w:name w:val="CJ7级 字符"/>
    <w:basedOn w:val="59"/>
    <w:link w:val="60"/>
    <w:uiPriority w:val="0"/>
    <w:rPr>
      <w:rFonts w:asciiTheme="majorHAnsi" w:hAnsiTheme="majorHAnsi" w:eastAsiaTheme="majorEastAsia"/>
      <w:kern w:val="44"/>
      <w:sz w:val="24"/>
      <w:szCs w:val="44"/>
    </w:rPr>
  </w:style>
  <w:style w:type="paragraph" w:customStyle="1" w:styleId="62">
    <w:name w:val="CJ8级"/>
    <w:basedOn w:val="60"/>
    <w:next w:val="48"/>
    <w:link w:val="63"/>
    <w:autoRedefine/>
    <w:qFormat/>
    <w:uiPriority w:val="0"/>
    <w:pPr>
      <w:outlineLvl w:val="7"/>
    </w:pPr>
  </w:style>
  <w:style w:type="character" w:customStyle="1" w:styleId="63">
    <w:name w:val="CJ8级 字符"/>
    <w:basedOn w:val="61"/>
    <w:link w:val="62"/>
    <w:uiPriority w:val="0"/>
    <w:rPr>
      <w:rFonts w:asciiTheme="majorHAnsi" w:hAnsiTheme="majorHAnsi" w:eastAsiaTheme="majorEastAsia"/>
      <w:kern w:val="44"/>
      <w:sz w:val="24"/>
      <w:szCs w:val="44"/>
    </w:rPr>
  </w:style>
  <w:style w:type="character" w:customStyle="1" w:styleId="64">
    <w:name w:val="CJ的正文 字符"/>
    <w:basedOn w:val="38"/>
    <w:link w:val="48"/>
    <w:uiPriority w:val="0"/>
    <w:rPr>
      <w:rFonts w:eastAsia="宋体"/>
      <w:sz w:val="24"/>
    </w:rPr>
  </w:style>
  <w:style w:type="paragraph" w:customStyle="1" w:styleId="65">
    <w:name w:val="CJ表格"/>
    <w:basedOn w:val="48"/>
    <w:link w:val="66"/>
    <w:autoRedefine/>
    <w:qFormat/>
    <w:uiPriority w:val="0"/>
    <w:pPr>
      <w:outlineLvl w:val="0"/>
    </w:pPr>
    <w:rPr>
      <w:rFonts w:asciiTheme="majorEastAsia" w:hAnsiTheme="majorEastAsia"/>
      <w:szCs w:val="28"/>
    </w:rPr>
  </w:style>
  <w:style w:type="character" w:customStyle="1" w:styleId="66">
    <w:name w:val="CJ表格 字符"/>
    <w:basedOn w:val="38"/>
    <w:link w:val="65"/>
    <w:uiPriority w:val="0"/>
    <w:rPr>
      <w:rFonts w:eastAsia="宋体" w:asciiTheme="majorEastAsia" w:hAnsiTheme="majorEastAsia"/>
      <w:sz w:val="24"/>
      <w:szCs w:val="28"/>
    </w:rPr>
  </w:style>
  <w:style w:type="character" w:customStyle="1" w:styleId="67">
    <w:name w:val="页眉 字符"/>
    <w:basedOn w:val="38"/>
    <w:link w:val="23"/>
    <w:qFormat/>
    <w:uiPriority w:val="99"/>
    <w:rPr>
      <w:sz w:val="18"/>
      <w:szCs w:val="18"/>
    </w:rPr>
  </w:style>
  <w:style w:type="character" w:customStyle="1" w:styleId="68">
    <w:name w:val="页脚 字符"/>
    <w:basedOn w:val="38"/>
    <w:link w:val="22"/>
    <w:qFormat/>
    <w:uiPriority w:val="99"/>
    <w:rPr>
      <w:sz w:val="18"/>
      <w:szCs w:val="18"/>
    </w:rPr>
  </w:style>
  <w:style w:type="paragraph" w:customStyle="1" w:styleId="6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8"/>
    <w:link w:val="3"/>
    <w:qFormat/>
    <w:uiPriority w:val="9"/>
    <w:rPr>
      <w:rFonts w:asciiTheme="majorHAnsi" w:hAnsiTheme="majorHAnsi" w:eastAsiaTheme="majorEastAsia" w:cstheme="majorBidi"/>
      <w:b/>
      <w:bCs/>
      <w:sz w:val="32"/>
      <w:szCs w:val="32"/>
    </w:rPr>
  </w:style>
  <w:style w:type="character" w:customStyle="1" w:styleId="71">
    <w:name w:val="标题 3 字符"/>
    <w:basedOn w:val="38"/>
    <w:link w:val="4"/>
    <w:qFormat/>
    <w:uiPriority w:val="0"/>
    <w:rPr>
      <w:b/>
      <w:bCs/>
      <w:sz w:val="32"/>
      <w:szCs w:val="32"/>
    </w:rPr>
  </w:style>
  <w:style w:type="character" w:customStyle="1" w:styleId="72">
    <w:name w:val="列表段落 字符"/>
    <w:link w:val="44"/>
    <w:qFormat/>
    <w:uiPriority w:val="34"/>
  </w:style>
  <w:style w:type="paragraph" w:customStyle="1" w:styleId="73">
    <w:name w:val="M正文"/>
    <w:basedOn w:val="1"/>
    <w:uiPriority w:val="0"/>
    <w:pPr>
      <w:widowControl/>
      <w:spacing w:before="156" w:afterLines="50"/>
      <w:jc w:val="left"/>
    </w:pPr>
    <w:rPr>
      <w:rFonts w:ascii="Times New Roman" w:hAnsi="Times New Roman" w:eastAsia="宋体" w:cs="Times New Roman"/>
      <w:kern w:val="0"/>
      <w:sz w:val="24"/>
      <w:szCs w:val="24"/>
      <w:lang w:val="en-GB"/>
    </w:rPr>
  </w:style>
  <w:style w:type="paragraph" w:customStyle="1" w:styleId="74">
    <w:name w:val="Item List"/>
    <w:basedOn w:val="1"/>
    <w:link w:val="92"/>
    <w:qFormat/>
    <w:uiPriority w:val="0"/>
    <w:pPr>
      <w:widowControl/>
      <w:numPr>
        <w:ilvl w:val="0"/>
        <w:numId w:val="4"/>
      </w:numPr>
      <w:tabs>
        <w:tab w:val="left" w:pos="420"/>
      </w:tabs>
      <w:adjustRightInd w:val="0"/>
      <w:snapToGrid w:val="0"/>
      <w:spacing w:before="80" w:after="80" w:line="320" w:lineRule="exact"/>
      <w:ind w:left="907" w:hanging="482"/>
    </w:pPr>
    <w:rPr>
      <w:rFonts w:ascii="Times New Roman" w:hAnsi="Times New Roman" w:eastAsia="宋体" w:cs="Arial"/>
      <w:szCs w:val="21"/>
    </w:rPr>
  </w:style>
  <w:style w:type="table" w:customStyle="1" w:styleId="75">
    <w:name w:val="Table"/>
    <w:basedOn w:val="37"/>
    <w:autoRedefine/>
    <w:qFormat/>
    <w:uiPriority w:val="0"/>
    <w:pPr>
      <w:jc w:val="left"/>
    </w:pPr>
    <w:rPr>
      <w:rFonts w:ascii="Times New Roman" w:hAnsi="Times New Roman" w:eastAsia="宋体" w:cs="Arial"/>
      <w:kern w:val="0"/>
      <w:sz w:val="20"/>
      <w:szCs w:val="20"/>
    </w:rP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paragraph" w:customStyle="1" w:styleId="76">
    <w:name w:val="Table Heading"/>
    <w:basedOn w:val="1"/>
    <w:link w:val="80"/>
    <w:autoRedefine/>
    <w:qFormat/>
    <w:uiPriority w:val="0"/>
    <w:pPr>
      <w:keepNext/>
      <w:spacing w:before="80" w:after="80" w:line="240" w:lineRule="exact"/>
    </w:pPr>
    <w:rPr>
      <w:rFonts w:ascii="Times New Roman" w:hAnsi="Times New Roman" w:eastAsia="宋体" w:cs="Book Antiqua"/>
      <w:b/>
      <w:bCs/>
      <w:snapToGrid w:val="0"/>
      <w:color w:val="FFFFFF" w:themeColor="background1"/>
      <w:kern w:val="0"/>
      <w14:textFill>
        <w14:solidFill>
          <w14:schemeClr w14:val="bg1"/>
        </w14:solidFill>
      </w14:textFill>
    </w:rPr>
  </w:style>
  <w:style w:type="paragraph" w:customStyle="1" w:styleId="77">
    <w:name w:val="Table Text"/>
    <w:basedOn w:val="1"/>
    <w:link w:val="79"/>
    <w:autoRedefine/>
    <w:qFormat/>
    <w:uiPriority w:val="0"/>
    <w:pPr>
      <w:topLinePunct/>
      <w:adjustRightInd w:val="0"/>
      <w:snapToGrid w:val="0"/>
      <w:spacing w:before="80" w:after="80" w:line="240" w:lineRule="atLeast"/>
    </w:pPr>
    <w:rPr>
      <w:rFonts w:ascii="Times New Roman" w:hAnsi="Times New Roman" w:eastAsia="宋体" w:cs="Arial"/>
      <w:snapToGrid w:val="0"/>
      <w:kern w:val="0"/>
      <w:sz w:val="20"/>
      <w:szCs w:val="21"/>
    </w:rPr>
  </w:style>
  <w:style w:type="paragraph" w:customStyle="1" w:styleId="78">
    <w:name w:val="Item List in Table"/>
    <w:basedOn w:val="74"/>
    <w:autoRedefine/>
    <w:qFormat/>
    <w:uiPriority w:val="0"/>
    <w:pPr>
      <w:ind w:left="340" w:hanging="340"/>
    </w:pPr>
    <w:rPr>
      <w:kern w:val="0"/>
      <w:sz w:val="20"/>
    </w:rPr>
  </w:style>
  <w:style w:type="character" w:customStyle="1" w:styleId="79">
    <w:name w:val="Table Text Char"/>
    <w:link w:val="77"/>
    <w:autoRedefine/>
    <w:qFormat/>
    <w:locked/>
    <w:uiPriority w:val="0"/>
    <w:rPr>
      <w:rFonts w:ascii="Times New Roman" w:hAnsi="Times New Roman" w:eastAsia="宋体" w:cs="Arial"/>
      <w:snapToGrid w:val="0"/>
      <w:kern w:val="0"/>
      <w:sz w:val="20"/>
      <w:szCs w:val="21"/>
    </w:rPr>
  </w:style>
  <w:style w:type="character" w:customStyle="1" w:styleId="80">
    <w:name w:val="Table Heading Char"/>
    <w:link w:val="76"/>
    <w:autoRedefine/>
    <w:qFormat/>
    <w:locked/>
    <w:uiPriority w:val="0"/>
    <w:rPr>
      <w:rFonts w:ascii="Times New Roman" w:hAnsi="Times New Roman" w:eastAsia="宋体" w:cs="Book Antiqua"/>
      <w:b/>
      <w:bCs/>
      <w:snapToGrid w:val="0"/>
      <w:color w:val="FFFFFF" w:themeColor="background1"/>
      <w:kern w:val="0"/>
      <w14:textFill>
        <w14:solidFill>
          <w14:schemeClr w14:val="bg1"/>
        </w14:solidFill>
      </w14:textFill>
    </w:rPr>
  </w:style>
  <w:style w:type="character" w:customStyle="1" w:styleId="81">
    <w:name w:val="批注文字 字符"/>
    <w:basedOn w:val="38"/>
    <w:link w:val="15"/>
    <w:semiHidden/>
    <w:uiPriority w:val="99"/>
  </w:style>
  <w:style w:type="character" w:customStyle="1" w:styleId="82">
    <w:name w:val="批注主题 字符"/>
    <w:basedOn w:val="81"/>
    <w:link w:val="33"/>
    <w:semiHidden/>
    <w:uiPriority w:val="99"/>
    <w:rPr>
      <w:b/>
      <w:bCs/>
    </w:rPr>
  </w:style>
  <w:style w:type="character" w:customStyle="1" w:styleId="83">
    <w:name w:val="批注框文本 字符"/>
    <w:basedOn w:val="38"/>
    <w:link w:val="21"/>
    <w:semiHidden/>
    <w:uiPriority w:val="99"/>
    <w:rPr>
      <w:sz w:val="18"/>
      <w:szCs w:val="18"/>
    </w:rPr>
  </w:style>
  <w:style w:type="paragraph" w:customStyle="1" w:styleId="84">
    <w:name w:val="正文1"/>
    <w:basedOn w:val="1"/>
    <w:link w:val="85"/>
    <w:qFormat/>
    <w:uiPriority w:val="0"/>
    <w:pPr>
      <w:widowControl/>
      <w:spacing w:before="80" w:after="80" w:line="320" w:lineRule="exact"/>
      <w:ind w:left="500" w:leftChars="500"/>
      <w:jc w:val="left"/>
    </w:pPr>
    <w:rPr>
      <w:rFonts w:ascii="Arial" w:hAnsi="Arial" w:eastAsia="微软雅黑"/>
    </w:rPr>
  </w:style>
  <w:style w:type="character" w:customStyle="1" w:styleId="85">
    <w:name w:val="正文1 Char"/>
    <w:basedOn w:val="38"/>
    <w:link w:val="84"/>
    <w:qFormat/>
    <w:uiPriority w:val="0"/>
    <w:rPr>
      <w:rFonts w:ascii="Arial" w:hAnsi="Arial" w:eastAsia="微软雅黑"/>
    </w:rPr>
  </w:style>
  <w:style w:type="character" w:customStyle="1" w:styleId="86">
    <w:name w:val="标题 4 字符"/>
    <w:basedOn w:val="38"/>
    <w:link w:val="5"/>
    <w:qFormat/>
    <w:uiPriority w:val="9"/>
    <w:rPr>
      <w:rFonts w:asciiTheme="majorHAnsi" w:hAnsiTheme="majorHAnsi" w:eastAsiaTheme="majorEastAsia" w:cstheme="majorBidi"/>
      <w:b/>
      <w:bCs/>
      <w:sz w:val="28"/>
      <w:szCs w:val="28"/>
    </w:rPr>
  </w:style>
  <w:style w:type="paragraph" w:customStyle="1" w:styleId="87">
    <w:name w:val="图注"/>
    <w:basedOn w:val="1"/>
    <w:qFormat/>
    <w:uiPriority w:val="0"/>
    <w:pPr>
      <w:spacing w:line="360" w:lineRule="auto"/>
      <w:ind w:firstLine="420"/>
      <w:jc w:val="center"/>
    </w:pPr>
    <w:rPr>
      <w:rFonts w:ascii="宋体" w:hAnsi="宋体" w:eastAsia="宋体" w:cstheme="majorBidi"/>
      <w:sz w:val="24"/>
      <w:szCs w:val="20"/>
    </w:rPr>
  </w:style>
  <w:style w:type="character" w:customStyle="1" w:styleId="88">
    <w:name w:val="标题 5 字符"/>
    <w:basedOn w:val="38"/>
    <w:link w:val="6"/>
    <w:qFormat/>
    <w:uiPriority w:val="0"/>
    <w:rPr>
      <w:b/>
      <w:bCs/>
      <w:sz w:val="28"/>
      <w:szCs w:val="28"/>
    </w:rPr>
  </w:style>
  <w:style w:type="character" w:customStyle="1" w:styleId="89">
    <w:name w:val="标题 6 字符"/>
    <w:basedOn w:val="38"/>
    <w:link w:val="7"/>
    <w:qFormat/>
    <w:uiPriority w:val="0"/>
    <w:rPr>
      <w:rFonts w:ascii="Arial" w:hAnsi="Arial" w:eastAsia="黑体" w:cstheme="majorBidi"/>
      <w:b/>
      <w:bCs/>
      <w:sz w:val="24"/>
      <w:szCs w:val="24"/>
    </w:rPr>
  </w:style>
  <w:style w:type="character" w:customStyle="1" w:styleId="90">
    <w:name w:val="标题 7 字符"/>
    <w:basedOn w:val="38"/>
    <w:link w:val="8"/>
    <w:qFormat/>
    <w:uiPriority w:val="0"/>
    <w:rPr>
      <w:rFonts w:ascii="Arial" w:hAnsi="Arial" w:eastAsia="黑体"/>
      <w:b/>
      <w:bCs/>
      <w:sz w:val="24"/>
      <w:szCs w:val="24"/>
    </w:rPr>
  </w:style>
  <w:style w:type="character" w:customStyle="1" w:styleId="91">
    <w:name w:val="标题 8 字符"/>
    <w:basedOn w:val="38"/>
    <w:link w:val="9"/>
    <w:qFormat/>
    <w:uiPriority w:val="0"/>
    <w:rPr>
      <w:rFonts w:ascii="宋体" w:hAnsi="宋体" w:eastAsia="黑体" w:cstheme="majorBidi"/>
      <w:b/>
      <w:sz w:val="24"/>
      <w:szCs w:val="24"/>
    </w:rPr>
  </w:style>
  <w:style w:type="character" w:customStyle="1" w:styleId="92">
    <w:name w:val="Item List Char"/>
    <w:link w:val="74"/>
    <w:uiPriority w:val="0"/>
    <w:rPr>
      <w:rFonts w:ascii="Times New Roman" w:hAnsi="Times New Roman" w:eastAsia="宋体" w:cs="Arial"/>
      <w:szCs w:val="21"/>
    </w:rPr>
  </w:style>
  <w:style w:type="paragraph" w:customStyle="1" w:styleId="93">
    <w:name w:val="cj图批注"/>
    <w:basedOn w:val="1"/>
    <w:qFormat/>
    <w:uiPriority w:val="0"/>
    <w:pPr>
      <w:ind w:left="100" w:leftChars="100" w:right="100" w:rightChars="100"/>
      <w:jc w:val="center"/>
    </w:pPr>
  </w:style>
  <w:style w:type="paragraph" w:customStyle="1" w:styleId="94">
    <w:name w:val="item fig"/>
    <w:basedOn w:val="93"/>
    <w:qFormat/>
    <w:uiPriority w:val="0"/>
    <w:pPr>
      <w:ind w:left="936" w:leftChars="0"/>
    </w:pPr>
  </w:style>
  <w:style w:type="paragraph" w:customStyle="1" w:styleId="95">
    <w:name w:val="截图插入格式"/>
    <w:link w:val="96"/>
    <w:autoRedefine/>
    <w:qFormat/>
    <w:uiPriority w:val="0"/>
    <w:pPr>
      <w:adjustRightInd w:val="0"/>
      <w:spacing w:before="120" w:beforeLines="50"/>
      <w:jc w:val="center"/>
    </w:pPr>
    <w:rPr>
      <w:rFonts w:ascii="宋体" w:hAnsi="宋体" w:eastAsia="宋体" w:cstheme="minorBidi"/>
      <w:kern w:val="0"/>
      <w:sz w:val="24"/>
      <w:szCs w:val="24"/>
      <w:lang w:val="en-US" w:eastAsia="zh-CN" w:bidi="ar-SA"/>
    </w:rPr>
  </w:style>
  <w:style w:type="character" w:customStyle="1" w:styleId="96">
    <w:name w:val="截图插入格式 字符"/>
    <w:basedOn w:val="64"/>
    <w:link w:val="95"/>
    <w:uiPriority w:val="0"/>
    <w:rPr>
      <w:rFonts w:ascii="宋体" w:hAnsi="宋体" w:eastAsia="宋体"/>
      <w:kern w:val="0"/>
      <w:sz w:val="24"/>
      <w:szCs w:val="24"/>
    </w:rPr>
  </w:style>
  <w:style w:type="paragraph" w:customStyle="1" w:styleId="97">
    <w:name w:val="截图说明"/>
    <w:link w:val="98"/>
    <w:qFormat/>
    <w:uiPriority w:val="0"/>
    <w:pPr>
      <w:spacing w:before="120" w:after="50" w:afterLines="50" w:line="360" w:lineRule="auto"/>
      <w:jc w:val="center"/>
    </w:pPr>
    <w:rPr>
      <w:rFonts w:eastAsia="宋体" w:asciiTheme="minorHAnsi" w:hAnsiTheme="minorHAnsi" w:cstheme="minorBidi"/>
      <w:kern w:val="0"/>
      <w:sz w:val="21"/>
      <w:szCs w:val="24"/>
      <w:lang w:val="en-US" w:eastAsia="zh-CN" w:bidi="ar-SA"/>
    </w:rPr>
  </w:style>
  <w:style w:type="character" w:customStyle="1" w:styleId="98">
    <w:name w:val="截图说明 字符"/>
    <w:basedOn w:val="38"/>
    <w:link w:val="97"/>
    <w:uiPriority w:val="0"/>
    <w:rPr>
      <w:rFonts w:eastAsia="宋体"/>
      <w:kern w:val="0"/>
      <w:szCs w:val="24"/>
    </w:rPr>
  </w:style>
  <w:style w:type="paragraph" w:customStyle="1" w:styleId="99">
    <w:name w:val="(正文)"/>
    <w:basedOn w:val="1"/>
    <w:qFormat/>
    <w:uiPriority w:val="0"/>
    <w:pPr>
      <w:adjustRightInd w:val="0"/>
      <w:snapToGrid w:val="0"/>
      <w:ind w:firstLine="480" w:firstLineChars="200"/>
    </w:pPr>
    <w:rPr>
      <w:rFonts w:ascii="Calibri" w:hAnsi="Calibri"/>
      <w:kern w:val="0"/>
      <w:szCs w:val="24"/>
    </w:rPr>
  </w:style>
  <w:style w:type="paragraph" w:customStyle="1" w:styleId="100">
    <w:name w:val="声明文字"/>
    <w:basedOn w:val="1"/>
    <w:qFormat/>
    <w:uiPriority w:val="0"/>
    <w:pPr>
      <w:widowControl/>
      <w:spacing w:after="120" w:line="360" w:lineRule="auto"/>
      <w:ind w:firstLine="360" w:firstLineChars="200"/>
    </w:pPr>
    <w:rPr>
      <w:rFonts w:ascii="Times New Roman" w:hAnsi="Times New Roman" w:eastAsia="宋体" w:cs="宋体"/>
      <w:kern w:val="0"/>
      <w:sz w:val="24"/>
      <w:szCs w:val="20"/>
    </w:rPr>
  </w:style>
  <w:style w:type="paragraph" w:customStyle="1" w:styleId="101">
    <w:name w:val="声明标题"/>
    <w:basedOn w:val="1"/>
    <w:qFormat/>
    <w:uiPriority w:val="0"/>
    <w:pPr>
      <w:widowControl/>
      <w:spacing w:line="360" w:lineRule="auto"/>
      <w:ind w:left="3150" w:leftChars="1500" w:firstLine="561"/>
      <w:jc w:val="left"/>
    </w:pPr>
    <w:rPr>
      <w:rFonts w:ascii="宋体" w:hAnsi="宋体" w:eastAsia="宋体" w:cs="宋体"/>
      <w:b/>
      <w:bCs/>
      <w:kern w:val="0"/>
      <w:sz w:val="44"/>
      <w:szCs w:val="44"/>
    </w:rPr>
  </w:style>
  <w:style w:type="paragraph" w:customStyle="1" w:styleId="102">
    <w:name w:val="表头"/>
    <w:basedOn w:val="1"/>
    <w:qFormat/>
    <w:uiPriority w:val="0"/>
    <w:pPr>
      <w:widowControl/>
      <w:spacing w:line="320" w:lineRule="exact"/>
      <w:ind w:firstLine="420"/>
      <w:jc w:val="center"/>
    </w:pPr>
    <w:rPr>
      <w:rFonts w:ascii="Times New Roman" w:hAnsi="Times New Roman" w:eastAsia="宋体" w:cs="Times New Roman"/>
      <w:b/>
      <w:bCs/>
      <w:snapToGrid w:val="0"/>
      <w:kern w:val="0"/>
      <w:sz w:val="24"/>
      <w:szCs w:val="18"/>
    </w:rPr>
  </w:style>
  <w:style w:type="paragraph" w:customStyle="1" w:styleId="103">
    <w:name w:val="表内容"/>
    <w:basedOn w:val="1"/>
    <w:uiPriority w:val="0"/>
    <w:pPr>
      <w:widowControl/>
      <w:jc w:val="left"/>
    </w:pPr>
    <w:rPr>
      <w:rFonts w:ascii="Times New Roman" w:hAnsi="Times New Roman" w:eastAsia="宋体" w:cs="Times New Roman"/>
      <w:snapToGrid w:val="0"/>
      <w:kern w:val="0"/>
      <w:sz w:val="24"/>
      <w:szCs w:val="24"/>
    </w:rPr>
  </w:style>
  <w:style w:type="paragraph" w:customStyle="1" w:styleId="104">
    <w:name w:val="正文360首行缩进"/>
    <w:basedOn w:val="1"/>
    <w:link w:val="105"/>
    <w:qFormat/>
    <w:uiPriority w:val="0"/>
    <w:pPr>
      <w:widowControl/>
      <w:spacing w:before="120" w:line="300" w:lineRule="auto"/>
      <w:ind w:firstLine="200" w:firstLineChars="200"/>
      <w:jc w:val="left"/>
    </w:pPr>
    <w:rPr>
      <w:rFonts w:ascii="Times New Roman" w:hAnsi="Times New Roman" w:eastAsia="宋体" w:cs="Times New Roman"/>
      <w:sz w:val="24"/>
      <w:szCs w:val="20"/>
    </w:rPr>
  </w:style>
  <w:style w:type="character" w:customStyle="1" w:styleId="105">
    <w:name w:val="正文360首行缩进 Char"/>
    <w:basedOn w:val="38"/>
    <w:link w:val="104"/>
    <w:uiPriority w:val="0"/>
    <w:rPr>
      <w:rFonts w:ascii="Times New Roman" w:hAnsi="Times New Roman" w:eastAsia="宋体" w:cs="Times New Roman"/>
      <w:sz w:val="24"/>
      <w:szCs w:val="20"/>
    </w:rPr>
  </w:style>
  <w:style w:type="character" w:customStyle="1" w:styleId="106">
    <w:name w:val="标题 9 字符"/>
    <w:basedOn w:val="38"/>
    <w:link w:val="10"/>
    <w:qFormat/>
    <w:uiPriority w:val="0"/>
    <w:rPr>
      <w:rFonts w:ascii="Arial" w:hAnsi="Arial" w:eastAsia="黑体" w:cs="Times New Roman"/>
      <w:kern w:val="0"/>
      <w:sz w:val="20"/>
      <w:szCs w:val="21"/>
    </w:rPr>
  </w:style>
  <w:style w:type="character" w:customStyle="1" w:styleId="107">
    <w:name w:val="文档结构图 字符"/>
    <w:basedOn w:val="38"/>
    <w:link w:val="14"/>
    <w:qFormat/>
    <w:uiPriority w:val="99"/>
    <w:rPr>
      <w:rFonts w:ascii="宋体" w:hAnsi="Times New Roman" w:eastAsia="宋体" w:cs="Times New Roman"/>
      <w:sz w:val="24"/>
      <w:szCs w:val="24"/>
    </w:rPr>
  </w:style>
  <w:style w:type="character" w:customStyle="1" w:styleId="108">
    <w:name w:val="正文文本 字符"/>
    <w:basedOn w:val="38"/>
    <w:link w:val="16"/>
    <w:semiHidden/>
    <w:qFormat/>
    <w:uiPriority w:val="99"/>
  </w:style>
  <w:style w:type="character" w:customStyle="1" w:styleId="109">
    <w:name w:val="纯文本 字符"/>
    <w:basedOn w:val="38"/>
    <w:link w:val="19"/>
    <w:qFormat/>
    <w:uiPriority w:val="0"/>
    <w:rPr>
      <w:rFonts w:ascii="宋体" w:hAnsi="Courier New" w:eastAsia="宋体" w:cs="Times New Roman"/>
      <w:szCs w:val="21"/>
    </w:rPr>
  </w:style>
  <w:style w:type="character" w:customStyle="1" w:styleId="110">
    <w:name w:val="正文文本 2 字符"/>
    <w:basedOn w:val="38"/>
    <w:link w:val="29"/>
    <w:qFormat/>
    <w:uiPriority w:val="0"/>
    <w:rPr>
      <w:rFonts w:ascii="楷体_GB2312" w:hAnsi="Garamond" w:eastAsia="楷体_GB2312" w:cs="Times New Roman"/>
      <w:color w:val="FF0000"/>
      <w:kern w:val="0"/>
      <w:sz w:val="24"/>
      <w:szCs w:val="24"/>
    </w:rPr>
  </w:style>
  <w:style w:type="character" w:customStyle="1" w:styleId="111">
    <w:name w:val="标题 字符"/>
    <w:basedOn w:val="38"/>
    <w:link w:val="32"/>
    <w:qFormat/>
    <w:uiPriority w:val="10"/>
    <w:rPr>
      <w:rFonts w:eastAsia="宋体" w:asciiTheme="majorHAnsi" w:hAnsiTheme="majorHAnsi" w:cstheme="majorBidi"/>
      <w:b/>
      <w:bCs/>
      <w:sz w:val="32"/>
      <w:szCs w:val="32"/>
    </w:rPr>
  </w:style>
  <w:style w:type="character" w:customStyle="1" w:styleId="112">
    <w:name w:val="正文文本首行缩进 字符"/>
    <w:basedOn w:val="108"/>
    <w:link w:val="34"/>
    <w:qFormat/>
    <w:uiPriority w:val="0"/>
  </w:style>
  <w:style w:type="paragraph" w:customStyle="1" w:styleId="113">
    <w:name w:val="章标题"/>
    <w:basedOn w:val="1"/>
    <w:link w:val="114"/>
    <w:qFormat/>
    <w:uiPriority w:val="0"/>
    <w:pPr>
      <w:spacing w:beforeLines="800"/>
      <w:jc w:val="center"/>
      <w:outlineLvl w:val="0"/>
    </w:pPr>
    <w:rPr>
      <w:rFonts w:ascii="微软雅黑" w:hAnsi="微软雅黑" w:eastAsia="微软雅黑" w:cs="Times New Roman"/>
      <w:b/>
      <w:sz w:val="52"/>
      <w:szCs w:val="52"/>
    </w:rPr>
  </w:style>
  <w:style w:type="character" w:customStyle="1" w:styleId="114">
    <w:name w:val="章标题 Char"/>
    <w:link w:val="113"/>
    <w:qFormat/>
    <w:uiPriority w:val="0"/>
    <w:rPr>
      <w:rFonts w:ascii="微软雅黑" w:hAnsi="微软雅黑" w:eastAsia="微软雅黑" w:cs="Times New Roman"/>
      <w:b/>
      <w:sz w:val="52"/>
      <w:szCs w:val="52"/>
    </w:rPr>
  </w:style>
  <w:style w:type="paragraph" w:customStyle="1" w:styleId="115">
    <w:name w:val="indent"/>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16">
    <w:name w:val="正文缩进 字符"/>
    <w:link w:val="12"/>
    <w:qFormat/>
    <w:uiPriority w:val="0"/>
    <w:rPr>
      <w:rFonts w:ascii="Times New Roman" w:hAnsi="Times New Roman" w:eastAsia="宋体" w:cs="Times New Roman"/>
      <w:sz w:val="24"/>
      <w:szCs w:val="24"/>
    </w:rPr>
  </w:style>
  <w:style w:type="paragraph" w:customStyle="1" w:styleId="117">
    <w:name w:val="彩色列表 - 强调文字颜色 11"/>
    <w:basedOn w:val="1"/>
    <w:qFormat/>
    <w:uiPriority w:val="0"/>
    <w:pPr>
      <w:ind w:firstLine="420" w:firstLineChars="200"/>
    </w:pPr>
    <w:rPr>
      <w:rFonts w:ascii="Calibri" w:hAnsi="Calibri" w:eastAsia="宋体" w:cs="Times New Roman"/>
    </w:rPr>
  </w:style>
  <w:style w:type="paragraph" w:customStyle="1" w:styleId="118">
    <w:name w:val="符号 正文"/>
    <w:basedOn w:val="34"/>
    <w:next w:val="34"/>
    <w:qFormat/>
    <w:uiPriority w:val="0"/>
    <w:pPr>
      <w:numPr>
        <w:ilvl w:val="0"/>
        <w:numId w:val="5"/>
      </w:numPr>
      <w:tabs>
        <w:tab w:val="left" w:pos="0"/>
      </w:tabs>
      <w:spacing w:after="156" w:afterLines="50" w:line="360" w:lineRule="auto"/>
      <w:ind w:left="0" w:firstLine="0" w:firstLineChars="0"/>
    </w:pPr>
    <w:rPr>
      <w:rFonts w:ascii="Times New Roman" w:hAnsi="Times New Roman" w:eastAsia="宋体" w:cs="Times New Roman"/>
      <w:szCs w:val="24"/>
    </w:rPr>
  </w:style>
  <w:style w:type="paragraph" w:customStyle="1" w:styleId="119">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120">
    <w:name w:val="测试"/>
    <w:basedOn w:val="3"/>
    <w:qFormat/>
    <w:uiPriority w:val="0"/>
    <w:pPr>
      <w:numPr>
        <w:ilvl w:val="0"/>
        <w:numId w:val="6"/>
      </w:numPr>
      <w:spacing w:afterLines="50"/>
    </w:pPr>
    <w:rPr>
      <w:rFonts w:ascii="Cambria" w:hAnsi="Cambria" w:eastAsia="宋体" w:cs="Times New Roman"/>
      <w:b w:val="0"/>
      <w:kern w:val="0"/>
    </w:rPr>
  </w:style>
  <w:style w:type="paragraph" w:customStyle="1" w:styleId="121">
    <w:name w:val="样式 首行缩进:  2 字符"/>
    <w:basedOn w:val="1"/>
    <w:qFormat/>
    <w:uiPriority w:val="0"/>
    <w:pPr>
      <w:ind w:firstLine="480" w:firstLineChars="200"/>
    </w:pPr>
    <w:rPr>
      <w:rFonts w:ascii="Times New Roman" w:hAnsi="Times New Roman" w:eastAsia="宋体" w:cs="宋体"/>
      <w:szCs w:val="20"/>
    </w:rPr>
  </w:style>
  <w:style w:type="paragraph" w:customStyle="1" w:styleId="122">
    <w:name w:val="标题cs1"/>
    <w:basedOn w:val="1"/>
    <w:uiPriority w:val="0"/>
    <w:rPr>
      <w:rFonts w:ascii="Times New Roman" w:hAnsi="Times New Roman" w:eastAsia="宋体" w:cs="Times New Roman"/>
      <w:b/>
      <w:sz w:val="24"/>
      <w:szCs w:val="20"/>
    </w:rPr>
  </w:style>
  <w:style w:type="paragraph" w:customStyle="1" w:styleId="123">
    <w:name w:val="正文（首行不缩进）"/>
    <w:basedOn w:val="1"/>
    <w:uiPriority w:val="0"/>
    <w:pPr>
      <w:widowControl/>
      <w:snapToGrid w:val="0"/>
      <w:spacing w:before="80" w:after="80" w:line="300" w:lineRule="auto"/>
      <w:ind w:left="1701"/>
    </w:pPr>
    <w:rPr>
      <w:rFonts w:ascii="Arial" w:hAnsi="Arial" w:eastAsia="宋体" w:cs="Times New Roman"/>
      <w:kern w:val="0"/>
      <w:szCs w:val="20"/>
    </w:rPr>
  </w:style>
  <w:style w:type="paragraph" w:customStyle="1" w:styleId="124">
    <w:name w:val="列出段落1"/>
    <w:basedOn w:val="1"/>
    <w:uiPriority w:val="0"/>
    <w:pPr>
      <w:ind w:firstLine="420" w:firstLineChars="200"/>
    </w:pPr>
    <w:rPr>
      <w:rFonts w:ascii="Calibri" w:hAnsi="Calibri" w:eastAsia="宋体" w:cs="Times New Roman"/>
    </w:rPr>
  </w:style>
  <w:style w:type="paragraph" w:customStyle="1" w:styleId="125">
    <w:name w:val="列出段落2"/>
    <w:basedOn w:val="1"/>
    <w:uiPriority w:val="0"/>
    <w:pPr>
      <w:ind w:firstLine="420" w:firstLineChars="200"/>
    </w:pPr>
    <w:rPr>
      <w:rFonts w:ascii="Calibri" w:hAnsi="Calibri" w:eastAsia="宋体" w:cs="Times New Roman"/>
    </w:rPr>
  </w:style>
  <w:style w:type="paragraph" w:customStyle="1" w:styleId="126">
    <w:name w:val="Char Char Char1 Char Char Char1 Char Char Char Char"/>
    <w:basedOn w:val="1"/>
    <w:uiPriority w:val="0"/>
    <w:pPr>
      <w:widowControl/>
      <w:spacing w:after="160" w:line="240" w:lineRule="exact"/>
      <w:jc w:val="left"/>
    </w:pPr>
    <w:rPr>
      <w:rFonts w:ascii="Calibri" w:hAnsi="Calibri" w:eastAsia="宋体" w:cs="黑体"/>
    </w:rPr>
  </w:style>
  <w:style w:type="paragraph" w:customStyle="1" w:styleId="127">
    <w:name w:val="纯文本1"/>
    <w:basedOn w:val="1"/>
    <w:uiPriority w:val="0"/>
    <w:rPr>
      <w:rFonts w:ascii="宋体" w:hAnsi="Courier New" w:eastAsia="宋体" w:cs="Courier New"/>
      <w:szCs w:val="21"/>
    </w:rPr>
  </w:style>
  <w:style w:type="paragraph" w:customStyle="1" w:styleId="128">
    <w:name w:val="正文缩进2"/>
    <w:basedOn w:val="1"/>
    <w:uiPriority w:val="0"/>
    <w:pPr>
      <w:ind w:firstLine="420"/>
    </w:pPr>
    <w:rPr>
      <w:rFonts w:ascii="Calibri" w:hAnsi="Calibri" w:eastAsia="宋体" w:cs="Times New Roman"/>
    </w:rPr>
  </w:style>
  <w:style w:type="paragraph" w:customStyle="1" w:styleId="129">
    <w:name w:val="正文 New"/>
    <w:qFormat/>
    <w:uiPriority w:val="0"/>
    <w:pPr>
      <w:widowControl w:val="0"/>
      <w:jc w:val="both"/>
    </w:pPr>
    <w:rPr>
      <w:rFonts w:ascii="Calibri" w:hAnsi="Calibri" w:eastAsia="宋体" w:cs="Times New Roman"/>
      <w:kern w:val="2"/>
      <w:sz w:val="21"/>
      <w:szCs w:val="21"/>
      <w:lang w:val="en-US" w:eastAsia="zh-CN" w:bidi="ar-SA"/>
    </w:rPr>
  </w:style>
  <w:style w:type="character" w:customStyle="1" w:styleId="130">
    <w:name w:val="正文缩进 字符1"/>
    <w:qFormat/>
    <w:uiPriority w:val="99"/>
    <w:rPr>
      <w:kern w:val="2"/>
      <w:sz w:val="21"/>
      <w:szCs w:val="21"/>
    </w:rPr>
  </w:style>
  <w:style w:type="character" w:customStyle="1" w:styleId="131">
    <w:name w:val="纯文本 字符1"/>
    <w:qFormat/>
    <w:locked/>
    <w:uiPriority w:val="0"/>
    <w:rPr>
      <w:rFonts w:ascii="宋体" w:hAnsi="Courier New" w:cs="宋体"/>
      <w:kern w:val="2"/>
      <w:sz w:val="21"/>
      <w:szCs w:val="21"/>
    </w:rPr>
  </w:style>
  <w:style w:type="character" w:customStyle="1" w:styleId="132">
    <w:name w:val="页脚 字符1"/>
    <w:qFormat/>
    <w:locked/>
    <w:uiPriority w:val="0"/>
    <w:rPr>
      <w:kern w:val="2"/>
      <w:sz w:val="18"/>
      <w:szCs w:val="18"/>
    </w:rPr>
  </w:style>
  <w:style w:type="character" w:customStyle="1" w:styleId="133">
    <w:name w:val="页眉 字符1"/>
    <w:qFormat/>
    <w:locked/>
    <w:uiPriority w:val="0"/>
    <w:rPr>
      <w:kern w:val="2"/>
      <w:sz w:val="18"/>
      <w:szCs w:val="18"/>
    </w:rPr>
  </w:style>
  <w:style w:type="character" w:customStyle="1" w:styleId="134">
    <w:name w:val="普通(网站) 字符"/>
    <w:link w:val="31"/>
    <w:qFormat/>
    <w:uiPriority w:val="99"/>
    <w:rPr>
      <w:rFonts w:ascii="宋体" w:hAnsi="宋体" w:eastAsia="宋体" w:cs="宋体"/>
      <w:kern w:val="0"/>
      <w:sz w:val="24"/>
      <w:szCs w:val="24"/>
    </w:rPr>
  </w:style>
  <w:style w:type="character" w:customStyle="1" w:styleId="135">
    <w:name w:val="样式2 Char Char"/>
    <w:link w:val="136"/>
    <w:locked/>
    <w:uiPriority w:val="0"/>
    <w:rPr>
      <w:b/>
      <w:bCs/>
      <w:sz w:val="24"/>
      <w:szCs w:val="24"/>
    </w:rPr>
  </w:style>
  <w:style w:type="paragraph" w:customStyle="1" w:styleId="136">
    <w:name w:val="样式2"/>
    <w:basedOn w:val="1"/>
    <w:link w:val="135"/>
    <w:qFormat/>
    <w:uiPriority w:val="0"/>
    <w:pPr>
      <w:spacing w:line="300" w:lineRule="auto"/>
      <w:jc w:val="center"/>
      <w:outlineLvl w:val="0"/>
    </w:pPr>
    <w:rPr>
      <w:b/>
      <w:bCs/>
      <w:sz w:val="24"/>
      <w:szCs w:val="24"/>
    </w:rPr>
  </w:style>
  <w:style w:type="paragraph" w:customStyle="1" w:styleId="137">
    <w:name w:val="图文"/>
    <w:basedOn w:val="1"/>
    <w:qFormat/>
    <w:uiPriority w:val="0"/>
    <w:pPr>
      <w:adjustRightInd w:val="0"/>
      <w:snapToGrid w:val="0"/>
      <w:spacing w:after="50" w:line="360" w:lineRule="auto"/>
    </w:pPr>
    <w:rPr>
      <w:rFonts w:ascii="Calibri" w:hAnsi="Calibri" w:eastAsia="宋体" w:cs="Times New Roman"/>
      <w:sz w:val="24"/>
      <w:szCs w:val="24"/>
    </w:rPr>
  </w:style>
  <w:style w:type="paragraph" w:customStyle="1" w:styleId="138">
    <w:name w:val="大标题下的概括说明文字"/>
    <w:basedOn w:val="1"/>
    <w:qFormat/>
    <w:uiPriority w:val="0"/>
    <w:pPr>
      <w:numPr>
        <w:ilvl w:val="0"/>
        <w:numId w:val="7"/>
      </w:numPr>
      <w:spacing w:line="360" w:lineRule="auto"/>
    </w:pPr>
    <w:rPr>
      <w:rFonts w:ascii="宋体" w:hAnsi="宋体" w:eastAsia="宋体" w:cs="宋体"/>
      <w:color w:val="000000"/>
      <w:sz w:val="28"/>
      <w:szCs w:val="28"/>
    </w:rPr>
  </w:style>
  <w:style w:type="paragraph" w:customStyle="1" w:styleId="139">
    <w:name w:val="样式1"/>
    <w:basedOn w:val="1"/>
    <w:qFormat/>
    <w:uiPriority w:val="0"/>
    <w:pPr>
      <w:jc w:val="center"/>
      <w:outlineLvl w:val="0"/>
    </w:pPr>
    <w:rPr>
      <w:rFonts w:ascii="Calibri" w:hAnsi="Calibri" w:eastAsia="宋体" w:cs="Times New Roman"/>
      <w:b/>
      <w:bCs/>
      <w:sz w:val="32"/>
      <w:szCs w:val="32"/>
    </w:rPr>
  </w:style>
  <w:style w:type="character" w:customStyle="1" w:styleId="140">
    <w:name w:val="未处理的提及1"/>
    <w:basedOn w:val="38"/>
    <w:semiHidden/>
    <w:unhideWhenUsed/>
    <w:uiPriority w:val="99"/>
    <w:rPr>
      <w:color w:val="605E5C"/>
      <w:shd w:val="clear" w:color="auto" w:fill="E1DFDD"/>
    </w:rPr>
  </w:style>
  <w:style w:type="paragraph" w:customStyle="1" w:styleId="141">
    <w:name w:val="标题2"/>
    <w:basedOn w:val="3"/>
    <w:qFormat/>
    <w:uiPriority w:val="0"/>
    <w:pPr>
      <w:keepLines w:val="0"/>
      <w:widowControl/>
      <w:spacing w:before="240" w:after="60" w:line="240" w:lineRule="auto"/>
      <w:jc w:val="left"/>
    </w:pPr>
    <w:rPr>
      <w:rFonts w:ascii="Cambria" w:hAnsi="Cambria" w:eastAsia="宋体" w:cs="Times New Roman"/>
      <w:iCs/>
      <w:kern w:val="0"/>
      <w:sz w:val="28"/>
      <w:szCs w:val="28"/>
    </w:rPr>
  </w:style>
  <w:style w:type="paragraph" w:customStyle="1" w:styleId="142">
    <w:name w:val="标题3"/>
    <w:basedOn w:val="4"/>
    <w:qFormat/>
    <w:uiPriority w:val="0"/>
    <w:pPr>
      <w:keepLines w:val="0"/>
      <w:widowControl/>
      <w:spacing w:before="240" w:after="60" w:line="240" w:lineRule="auto"/>
      <w:jc w:val="left"/>
    </w:pPr>
    <w:rPr>
      <w:rFonts w:ascii="Cambria" w:hAnsi="Cambria" w:eastAsia="宋体" w:cs="Times New Roman"/>
      <w:kern w:val="0"/>
      <w:sz w:val="26"/>
      <w:szCs w:val="26"/>
    </w:rPr>
  </w:style>
  <w:style w:type="character" w:customStyle="1" w:styleId="143">
    <w:name w:val="正文缩进 Char2"/>
    <w:uiPriority w:val="0"/>
    <w:rPr>
      <w:kern w:val="1"/>
      <w:sz w:val="21"/>
      <w:szCs w:val="24"/>
      <w:lang w:eastAsia="ar-SA"/>
    </w:rPr>
  </w:style>
  <w:style w:type="paragraph" w:customStyle="1" w:styleId="144">
    <w:name w:val="WPSOffice手动目录 1"/>
    <w:uiPriority w:val="0"/>
    <w:rPr>
      <w:rFonts w:ascii="Times New Roman" w:hAnsi="Times New Roman" w:eastAsia="宋体" w:cs="Times New Roman"/>
      <w:kern w:val="0"/>
      <w:sz w:val="20"/>
      <w:szCs w:val="20"/>
      <w:lang w:val="en-US" w:eastAsia="zh-CN" w:bidi="ar-SA"/>
    </w:rPr>
  </w:style>
  <w:style w:type="paragraph" w:customStyle="1" w:styleId="145">
    <w:name w:val="WPSOffice手动目录 2"/>
    <w:uiPriority w:val="0"/>
    <w:pPr>
      <w:ind w:left="200" w:leftChars="200"/>
    </w:pPr>
    <w:rPr>
      <w:rFonts w:ascii="Times New Roman" w:hAnsi="Times New Roman" w:eastAsia="宋体" w:cs="Times New Roman"/>
      <w:kern w:val="0"/>
      <w:sz w:val="20"/>
      <w:szCs w:val="20"/>
      <w:lang w:val="en-US" w:eastAsia="zh-CN" w:bidi="ar-SA"/>
    </w:rPr>
  </w:style>
  <w:style w:type="character" w:customStyle="1" w:styleId="146">
    <w:name w:val="Unresolved Mention"/>
    <w:basedOn w:val="38"/>
    <w:semiHidden/>
    <w:unhideWhenUsed/>
    <w:uiPriority w:val="99"/>
    <w:rPr>
      <w:color w:val="605E5C"/>
      <w:shd w:val="clear" w:color="auto" w:fill="E1DFDD"/>
    </w:rPr>
  </w:style>
  <w:style w:type="character" w:customStyle="1" w:styleId="147">
    <w:name w:val="HTML 预设格式 字符"/>
    <w:basedOn w:val="38"/>
    <w:link w:val="30"/>
    <w:qFormat/>
    <w:uiPriority w:val="99"/>
    <w:rPr>
      <w:rFonts w:ascii="宋体" w:hAnsi="宋体" w:eastAsia="宋体" w:cs="Times New Roman"/>
      <w:kern w:val="0"/>
      <w:sz w:val="24"/>
      <w:szCs w:val="24"/>
    </w:rPr>
  </w:style>
  <w:style w:type="paragraph" w:customStyle="1" w:styleId="148">
    <w:name w:val="无间隔1"/>
    <w:link w:val="149"/>
    <w:qFormat/>
    <w:uiPriority w:val="1"/>
    <w:rPr>
      <w:rFonts w:asciiTheme="minorHAnsi" w:hAnsiTheme="minorHAnsi" w:eastAsiaTheme="minorEastAsia" w:cstheme="minorBidi"/>
      <w:kern w:val="0"/>
      <w:sz w:val="22"/>
      <w:szCs w:val="22"/>
      <w:lang w:val="en-US" w:eastAsia="zh-CN" w:bidi="ar-SA"/>
    </w:rPr>
  </w:style>
  <w:style w:type="character" w:customStyle="1" w:styleId="149">
    <w:name w:val="无间隔 Char"/>
    <w:basedOn w:val="38"/>
    <w:link w:val="148"/>
    <w:qFormat/>
    <w:uiPriority w:val="1"/>
    <w:rPr>
      <w:kern w:val="0"/>
      <w:sz w:val="22"/>
    </w:rPr>
  </w:style>
  <w:style w:type="paragraph" w:customStyle="1" w:styleId="150">
    <w:name w:val="列表段落1"/>
    <w:basedOn w:val="1"/>
    <w:qFormat/>
    <w:uiPriority w:val="34"/>
    <w:pPr>
      <w:ind w:firstLine="420" w:firstLineChars="200"/>
    </w:pPr>
    <w:rPr>
      <w:rFonts w:ascii="Calibri" w:hAnsi="Calibri" w:eastAsia="宋体" w:cs="Times New Roman"/>
    </w:rPr>
  </w:style>
  <w:style w:type="paragraph" w:styleId="151">
    <w:name w:val="No Spacing"/>
    <w:basedOn w:val="1"/>
    <w:link w:val="152"/>
    <w:qFormat/>
    <w:uiPriority w:val="1"/>
    <w:pPr>
      <w:widowControl/>
      <w:jc w:val="left"/>
    </w:pPr>
    <w:rPr>
      <w:kern w:val="0"/>
      <w:sz w:val="22"/>
    </w:rPr>
  </w:style>
  <w:style w:type="character" w:customStyle="1" w:styleId="152">
    <w:name w:val="无间隔 字符"/>
    <w:link w:val="151"/>
    <w:locked/>
    <w:uiPriority w:val="1"/>
    <w:rPr>
      <w:kern w:val="0"/>
      <w:sz w:val="22"/>
    </w:rPr>
  </w:style>
  <w:style w:type="paragraph" w:customStyle="1" w:styleId="153">
    <w:name w:val="图表"/>
    <w:basedOn w:val="1"/>
    <w:uiPriority w:val="0"/>
    <w:pPr>
      <w:spacing w:line="360" w:lineRule="auto"/>
      <w:jc w:val="center"/>
    </w:pPr>
    <w:rPr>
      <w:rFonts w:ascii="Times New Roman" w:hAnsi="Times New Roman" w:eastAsia="宋体" w:cs="Times New Roman"/>
      <w:sz w:val="24"/>
      <w:szCs w:val="20"/>
    </w:rPr>
  </w:style>
  <w:style w:type="character" w:customStyle="1" w:styleId="154">
    <w:name w:val="fontstyle01"/>
    <w:basedOn w:val="38"/>
    <w:uiPriority w:val="0"/>
    <w:rPr>
      <w:rFonts w:hint="eastAsia" w:ascii="等线" w:hAnsi="等线" w:eastAsia="等线"/>
      <w:color w:val="000000"/>
      <w:sz w:val="22"/>
      <w:szCs w:val="22"/>
    </w:rPr>
  </w:style>
  <w:style w:type="paragraph" w:customStyle="1" w:styleId="155">
    <w:name w:val="正文格式"/>
    <w:basedOn w:val="1"/>
    <w:qFormat/>
    <w:uiPriority w:val="0"/>
    <w:pPr>
      <w:widowControl/>
      <w:jc w:val="left"/>
    </w:pPr>
    <w:rPr>
      <w:rFonts w:ascii="Calibri" w:hAnsi="Calibri" w:eastAsia="宋体" w:cs="Times New Roman"/>
      <w:kern w:val="0"/>
      <w:sz w:val="24"/>
      <w:szCs w:val="24"/>
    </w:rPr>
  </w:style>
  <w:style w:type="paragraph" w:customStyle="1" w:styleId="156">
    <w:name w:val="Cap_正文"/>
    <w:uiPriority w:val="0"/>
    <w:pPr>
      <w:spacing w:after="160"/>
      <w:ind w:firstLine="200" w:firstLineChars="200"/>
    </w:pPr>
    <w:rPr>
      <w:rFonts w:ascii="Times New Roman" w:hAnsi="Times New Roman" w:eastAsia="宋体" w:cs="Times New Roman"/>
      <w:kern w:val="0"/>
      <w:sz w:val="22"/>
      <w:szCs w:val="24"/>
      <w:lang w:val="en-US" w:eastAsia="en-CA"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我的投标字体">
      <a:majorFont>
        <a:latin typeface="黑体"/>
        <a:ea typeface="黑体"/>
        <a:cs typeface=""/>
      </a:majorFont>
      <a:minorFont>
        <a:latin typeface="黑体"/>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C8350D-C560-4EC5-8881-718763CFB301}">
  <ds:schemaRefs/>
</ds:datastoreItem>
</file>

<file path=docProps/app.xml><?xml version="1.0" encoding="utf-8"?>
<Properties xmlns="http://schemas.openxmlformats.org/officeDocument/2006/extended-properties" xmlns:vt="http://schemas.openxmlformats.org/officeDocument/2006/docPropsVTypes">
  <Template>Normal.dotm</Template>
  <Company>360</Company>
  <Pages>1</Pages>
  <Words>2064</Words>
  <Characters>11769</Characters>
  <Lines>98</Lines>
  <Paragraphs>27</Paragraphs>
  <TotalTime>0</TotalTime>
  <ScaleCrop>false</ScaleCrop>
  <LinksUpToDate>false</LinksUpToDate>
  <CharactersWithSpaces>13806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2023-11-23T11:46:00Z</dcterms:created>
  <dc:creator>曹进</dc:creator>
  <cp:lastModifiedBy>微默</cp:lastModifiedBy>
  <cp:lastPrinted>2020-12-21T10:54:00Z</cp:lastPrinted>
  <dcterms:modified xsi:type="dcterms:W3CDTF">2024-08-19T02:20:27Z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FCB0DAB29325476DA701CED19D70601E_12</vt:lpwstr>
  </property>
</Properties>
</file>